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1" w:type="dxa"/>
        <w:tblInd w:w="-639" w:type="dxa"/>
        <w:tblCellMar>
          <w:left w:w="70" w:type="dxa"/>
          <w:right w:w="70" w:type="dxa"/>
        </w:tblCellMar>
        <w:tblLook w:val="04A0"/>
      </w:tblPr>
      <w:tblGrid>
        <w:gridCol w:w="507"/>
        <w:gridCol w:w="7319"/>
        <w:gridCol w:w="577"/>
        <w:gridCol w:w="490"/>
        <w:gridCol w:w="1248"/>
      </w:tblGrid>
      <w:tr w:rsidR="007E2C5C" w:rsidRPr="001D1A34" w:rsidTr="00245AFF">
        <w:trPr>
          <w:trHeight w:val="225"/>
        </w:trPr>
        <w:tc>
          <w:tcPr>
            <w:tcW w:w="507" w:type="dxa"/>
            <w:tcBorders>
              <w:top w:val="nil"/>
              <w:left w:val="nil"/>
              <w:bottom w:val="nil"/>
              <w:right w:val="nil"/>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p>
        </w:tc>
        <w:tc>
          <w:tcPr>
            <w:tcW w:w="9634" w:type="dxa"/>
            <w:gridSpan w:val="4"/>
            <w:tcBorders>
              <w:top w:val="nil"/>
              <w:left w:val="nil"/>
              <w:bottom w:val="nil"/>
              <w:right w:val="nil"/>
            </w:tcBorders>
            <w:shd w:val="clear" w:color="auto" w:fill="auto"/>
            <w:noWrap/>
            <w:vAlign w:val="bottom"/>
            <w:hideMark/>
          </w:tcPr>
          <w:p w:rsidR="001C2297" w:rsidRDefault="001C2297" w:rsidP="001C2297">
            <w:pPr>
              <w:spacing w:after="0"/>
              <w:jc w:val="center"/>
              <w:rPr>
                <w:rFonts w:ascii="Times New Roman" w:hAnsi="Times New Roman" w:cs="Times New Roman"/>
                <w:b/>
                <w:sz w:val="32"/>
                <w:szCs w:val="32"/>
                <w:highlight w:val="yellow"/>
              </w:rPr>
            </w:pPr>
          </w:p>
          <w:p w:rsidR="001C2297" w:rsidRDefault="001C2297" w:rsidP="001C2297">
            <w:pPr>
              <w:spacing w:after="0"/>
              <w:jc w:val="center"/>
              <w:rPr>
                <w:rFonts w:ascii="Times New Roman" w:hAnsi="Times New Roman" w:cs="Times New Roman"/>
                <w:b/>
                <w:color w:val="000000"/>
                <w:sz w:val="32"/>
                <w:szCs w:val="32"/>
              </w:rPr>
            </w:pPr>
            <w:r w:rsidRPr="0056641A">
              <w:rPr>
                <w:rFonts w:ascii="Times New Roman" w:hAnsi="Times New Roman" w:cs="Times New Roman"/>
                <w:b/>
                <w:sz w:val="32"/>
                <w:szCs w:val="32"/>
                <w:highlight w:val="yellow"/>
              </w:rPr>
              <w:t xml:space="preserve">Wymagania dotyczące </w:t>
            </w:r>
            <w:r w:rsidRPr="0056641A">
              <w:rPr>
                <w:rFonts w:ascii="Times New Roman" w:hAnsi="Times New Roman" w:cs="Times New Roman"/>
                <w:b/>
                <w:color w:val="000000"/>
                <w:sz w:val="32"/>
                <w:szCs w:val="32"/>
                <w:highlight w:val="yellow"/>
              </w:rPr>
              <w:t xml:space="preserve">zadania </w:t>
            </w:r>
            <w:r w:rsidRPr="001C2297">
              <w:rPr>
                <w:rFonts w:ascii="Times New Roman" w:hAnsi="Times New Roman" w:cs="Times New Roman"/>
                <w:b/>
                <w:color w:val="000000"/>
                <w:sz w:val="32"/>
                <w:szCs w:val="32"/>
                <w:highlight w:val="yellow"/>
              </w:rPr>
              <w:t>nr 1</w:t>
            </w:r>
          </w:p>
          <w:p w:rsidR="001C2297" w:rsidRPr="001D1A34" w:rsidRDefault="001C2297" w:rsidP="001C2297">
            <w:pPr>
              <w:spacing w:after="0"/>
              <w:jc w:val="center"/>
              <w:rPr>
                <w:rFonts w:ascii="Times New Roman" w:hAnsi="Times New Roman" w:cs="Times New Roman"/>
                <w:b/>
                <w:color w:val="000000"/>
                <w:sz w:val="32"/>
                <w:szCs w:val="32"/>
              </w:rPr>
            </w:pPr>
          </w:p>
          <w:tbl>
            <w:tblPr>
              <w:tblW w:w="9483" w:type="dxa"/>
              <w:tblCellMar>
                <w:left w:w="70" w:type="dxa"/>
                <w:right w:w="70" w:type="dxa"/>
              </w:tblCellMar>
              <w:tblLook w:val="04A0"/>
            </w:tblPr>
            <w:tblGrid>
              <w:gridCol w:w="340"/>
              <w:gridCol w:w="3320"/>
              <w:gridCol w:w="5823"/>
            </w:tblGrid>
            <w:tr w:rsidR="001C2297" w:rsidRPr="001C2297" w:rsidTr="001C2297">
              <w:trPr>
                <w:trHeight w:val="540"/>
              </w:trPr>
              <w:tc>
                <w:tcPr>
                  <w:tcW w:w="340" w:type="dxa"/>
                  <w:tcBorders>
                    <w:top w:val="single" w:sz="4" w:space="0" w:color="auto"/>
                    <w:left w:val="single" w:sz="4" w:space="0" w:color="auto"/>
                    <w:bottom w:val="single" w:sz="4" w:space="0" w:color="auto"/>
                    <w:right w:val="nil"/>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 </w:t>
                  </w:r>
                </w:p>
              </w:tc>
              <w:tc>
                <w:tcPr>
                  <w:tcW w:w="91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Niespełnienie wskazanych wymogów Zamawiającego spowoduje odrzucenie oferty jako niezgodnej z SIWZ. Poniższą tabelę należy uzupełnić w wymagane dane</w:t>
                  </w:r>
                </w:p>
              </w:tc>
            </w:tr>
            <w:tr w:rsidR="001C2297" w:rsidRPr="001C2297" w:rsidTr="001C2297">
              <w:trPr>
                <w:trHeight w:val="540"/>
              </w:trPr>
              <w:tc>
                <w:tcPr>
                  <w:tcW w:w="340" w:type="dxa"/>
                  <w:tcBorders>
                    <w:top w:val="nil"/>
                    <w:left w:val="single" w:sz="4" w:space="0" w:color="auto"/>
                    <w:bottom w:val="single" w:sz="4" w:space="0" w:color="auto"/>
                    <w:right w:val="nil"/>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 </w:t>
                  </w:r>
                </w:p>
              </w:tc>
              <w:tc>
                <w:tcPr>
                  <w:tcW w:w="91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Podstawowe dane dotyczące urządzenia</w:t>
                  </w:r>
                </w:p>
              </w:tc>
            </w:tr>
            <w:tr w:rsidR="001C2297" w:rsidRPr="001C2297" w:rsidTr="001C2297">
              <w:trPr>
                <w:trHeight w:val="5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2</w:t>
                  </w:r>
                </w:p>
              </w:tc>
              <w:tc>
                <w:tcPr>
                  <w:tcW w:w="3320" w:type="dxa"/>
                  <w:tcBorders>
                    <w:top w:val="nil"/>
                    <w:left w:val="nil"/>
                    <w:bottom w:val="single" w:sz="4" w:space="0" w:color="auto"/>
                    <w:right w:val="single" w:sz="4" w:space="0" w:color="auto"/>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sz w:val="24"/>
                      <w:szCs w:val="24"/>
                      <w:lang w:eastAsia="pl-PL"/>
                    </w:rPr>
                  </w:pPr>
                  <w:r w:rsidRPr="001C2297">
                    <w:rPr>
                      <w:rFonts w:ascii="Times New Roman" w:eastAsia="Times New Roman" w:hAnsi="Times New Roman" w:cs="Times New Roman"/>
                      <w:sz w:val="24"/>
                      <w:szCs w:val="24"/>
                      <w:lang w:eastAsia="pl-PL"/>
                    </w:rPr>
                    <w:t>Nazwa/model urządzenia</w:t>
                  </w:r>
                </w:p>
              </w:tc>
              <w:tc>
                <w:tcPr>
                  <w:tcW w:w="5823" w:type="dxa"/>
                  <w:tcBorders>
                    <w:top w:val="single" w:sz="4" w:space="0" w:color="auto"/>
                    <w:left w:val="nil"/>
                    <w:bottom w:val="single" w:sz="4" w:space="0" w:color="auto"/>
                    <w:right w:val="single" w:sz="4" w:space="0" w:color="000000"/>
                  </w:tcBorders>
                  <w:shd w:val="clear" w:color="auto" w:fill="FFFF00"/>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 </w:t>
                  </w:r>
                </w:p>
              </w:tc>
            </w:tr>
            <w:tr w:rsidR="001C2297" w:rsidRPr="001C2297" w:rsidTr="001C2297">
              <w:trPr>
                <w:trHeight w:val="5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3</w:t>
                  </w:r>
                </w:p>
              </w:tc>
              <w:tc>
                <w:tcPr>
                  <w:tcW w:w="3320" w:type="dxa"/>
                  <w:tcBorders>
                    <w:top w:val="nil"/>
                    <w:left w:val="nil"/>
                    <w:bottom w:val="single" w:sz="4" w:space="0" w:color="auto"/>
                    <w:right w:val="single" w:sz="4" w:space="0" w:color="auto"/>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sz w:val="24"/>
                      <w:szCs w:val="24"/>
                      <w:lang w:eastAsia="pl-PL"/>
                    </w:rPr>
                  </w:pPr>
                  <w:r w:rsidRPr="001C2297">
                    <w:rPr>
                      <w:rFonts w:ascii="Times New Roman" w:eastAsia="Times New Roman" w:hAnsi="Times New Roman" w:cs="Times New Roman"/>
                      <w:sz w:val="24"/>
                      <w:szCs w:val="24"/>
                      <w:lang w:eastAsia="pl-PL"/>
                    </w:rPr>
                    <w:t>Producent</w:t>
                  </w:r>
                </w:p>
              </w:tc>
              <w:tc>
                <w:tcPr>
                  <w:tcW w:w="5823" w:type="dxa"/>
                  <w:tcBorders>
                    <w:top w:val="single" w:sz="4" w:space="0" w:color="auto"/>
                    <w:left w:val="nil"/>
                    <w:bottom w:val="single" w:sz="4" w:space="0" w:color="auto"/>
                    <w:right w:val="single" w:sz="4" w:space="0" w:color="000000"/>
                  </w:tcBorders>
                  <w:shd w:val="clear" w:color="auto" w:fill="FFFF00"/>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 </w:t>
                  </w:r>
                </w:p>
              </w:tc>
            </w:tr>
            <w:tr w:rsidR="001C2297" w:rsidRPr="001C2297" w:rsidTr="001C2297">
              <w:trPr>
                <w:trHeight w:val="5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4</w:t>
                  </w:r>
                </w:p>
              </w:tc>
              <w:tc>
                <w:tcPr>
                  <w:tcW w:w="3320" w:type="dxa"/>
                  <w:tcBorders>
                    <w:top w:val="nil"/>
                    <w:left w:val="nil"/>
                    <w:bottom w:val="single" w:sz="4" w:space="0" w:color="auto"/>
                    <w:right w:val="single" w:sz="4" w:space="0" w:color="auto"/>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sz w:val="24"/>
                      <w:szCs w:val="24"/>
                      <w:lang w:eastAsia="pl-PL"/>
                    </w:rPr>
                  </w:pPr>
                  <w:r w:rsidRPr="001C2297">
                    <w:rPr>
                      <w:rFonts w:ascii="Times New Roman" w:eastAsia="Times New Roman" w:hAnsi="Times New Roman" w:cs="Times New Roman"/>
                      <w:sz w:val="24"/>
                      <w:szCs w:val="24"/>
                      <w:lang w:eastAsia="pl-PL"/>
                    </w:rPr>
                    <w:t>Kraj pochodzenia</w:t>
                  </w:r>
                </w:p>
              </w:tc>
              <w:tc>
                <w:tcPr>
                  <w:tcW w:w="5823" w:type="dxa"/>
                  <w:tcBorders>
                    <w:top w:val="single" w:sz="4" w:space="0" w:color="auto"/>
                    <w:left w:val="nil"/>
                    <w:bottom w:val="single" w:sz="4" w:space="0" w:color="auto"/>
                    <w:right w:val="single" w:sz="4" w:space="0" w:color="000000"/>
                  </w:tcBorders>
                  <w:shd w:val="clear" w:color="auto" w:fill="FFFF00"/>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 </w:t>
                  </w:r>
                </w:p>
              </w:tc>
            </w:tr>
            <w:tr w:rsidR="001C2297" w:rsidRPr="001C2297" w:rsidTr="001C2297">
              <w:trPr>
                <w:trHeight w:val="5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5</w:t>
                  </w:r>
                </w:p>
              </w:tc>
              <w:tc>
                <w:tcPr>
                  <w:tcW w:w="3320" w:type="dxa"/>
                  <w:tcBorders>
                    <w:top w:val="nil"/>
                    <w:left w:val="nil"/>
                    <w:bottom w:val="single" w:sz="4" w:space="0" w:color="auto"/>
                    <w:right w:val="single" w:sz="4" w:space="0" w:color="auto"/>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sz w:val="24"/>
                      <w:szCs w:val="24"/>
                      <w:lang w:eastAsia="pl-PL"/>
                    </w:rPr>
                  </w:pPr>
                  <w:r w:rsidRPr="001C2297">
                    <w:rPr>
                      <w:rFonts w:ascii="Times New Roman" w:eastAsia="Times New Roman" w:hAnsi="Times New Roman" w:cs="Times New Roman"/>
                      <w:sz w:val="24"/>
                      <w:szCs w:val="24"/>
                      <w:lang w:eastAsia="pl-PL"/>
                    </w:rPr>
                    <w:t>Rok produkcji (nie wcześniej niż 2014)</w:t>
                  </w:r>
                </w:p>
              </w:tc>
              <w:tc>
                <w:tcPr>
                  <w:tcW w:w="5823" w:type="dxa"/>
                  <w:tcBorders>
                    <w:top w:val="single" w:sz="4" w:space="0" w:color="auto"/>
                    <w:left w:val="nil"/>
                    <w:bottom w:val="single" w:sz="4" w:space="0" w:color="auto"/>
                    <w:right w:val="single" w:sz="4" w:space="0" w:color="000000"/>
                  </w:tcBorders>
                  <w:shd w:val="clear" w:color="auto" w:fill="FFFF00"/>
                  <w:vAlign w:val="center"/>
                  <w:hideMark/>
                </w:tcPr>
                <w:p w:rsidR="001C2297" w:rsidRPr="001C2297" w:rsidRDefault="001C2297" w:rsidP="001C2297">
                  <w:pPr>
                    <w:spacing w:after="0" w:line="240" w:lineRule="auto"/>
                    <w:jc w:val="center"/>
                    <w:rPr>
                      <w:rFonts w:ascii="Times New Roman" w:eastAsia="Times New Roman" w:hAnsi="Times New Roman" w:cs="Times New Roman"/>
                      <w:b/>
                      <w:bCs/>
                      <w:sz w:val="24"/>
                      <w:szCs w:val="24"/>
                      <w:lang w:eastAsia="pl-PL"/>
                    </w:rPr>
                  </w:pPr>
                  <w:r w:rsidRPr="001C2297">
                    <w:rPr>
                      <w:rFonts w:ascii="Times New Roman" w:eastAsia="Times New Roman" w:hAnsi="Times New Roman" w:cs="Times New Roman"/>
                      <w:b/>
                      <w:bCs/>
                      <w:sz w:val="24"/>
                      <w:szCs w:val="24"/>
                      <w:lang w:eastAsia="pl-PL"/>
                    </w:rPr>
                    <w:t> </w:t>
                  </w:r>
                </w:p>
              </w:tc>
            </w:tr>
          </w:tbl>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tbl>
            <w:tblPr>
              <w:tblW w:w="9396" w:type="dxa"/>
              <w:tblCellMar>
                <w:left w:w="70" w:type="dxa"/>
                <w:right w:w="70" w:type="dxa"/>
              </w:tblCellMar>
              <w:tblLook w:val="04A0"/>
            </w:tblPr>
            <w:tblGrid>
              <w:gridCol w:w="360"/>
              <w:gridCol w:w="3878"/>
              <w:gridCol w:w="2268"/>
              <w:gridCol w:w="2890"/>
            </w:tblGrid>
            <w:tr w:rsidR="001C2297" w:rsidRPr="001C2297" w:rsidTr="00316F63">
              <w:trPr>
                <w:trHeight w:val="54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 </w:t>
                  </w:r>
                </w:p>
              </w:tc>
              <w:tc>
                <w:tcPr>
                  <w:tcW w:w="6146" w:type="dxa"/>
                  <w:gridSpan w:val="2"/>
                  <w:tcBorders>
                    <w:top w:val="single" w:sz="4" w:space="0" w:color="auto"/>
                    <w:left w:val="nil"/>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Wymagane minimalne parametry techniczne (należy potwierdzić TAK/NIE oraz wskazać wymaganą wartość/parametr)</w:t>
                  </w:r>
                </w:p>
              </w:tc>
              <w:tc>
                <w:tcPr>
                  <w:tcW w:w="2890" w:type="dxa"/>
                  <w:tcBorders>
                    <w:top w:val="single" w:sz="4" w:space="0" w:color="auto"/>
                    <w:left w:val="nil"/>
                    <w:bottom w:val="single" w:sz="4" w:space="0" w:color="auto"/>
                    <w:right w:val="single" w:sz="4" w:space="0" w:color="000000"/>
                  </w:tcBorders>
                </w:tcPr>
                <w:p w:rsidR="001C2297" w:rsidRPr="001C2297" w:rsidRDefault="001C2297" w:rsidP="001C2297">
                  <w:pPr>
                    <w:spacing w:after="0" w:line="240" w:lineRule="auto"/>
                    <w:jc w:val="center"/>
                    <w:rPr>
                      <w:rFonts w:ascii="Times New Roman" w:eastAsia="Times New Roman" w:hAnsi="Times New Roman" w:cs="Times New Roman"/>
                      <w:b/>
                      <w:bCs/>
                      <w:lang w:eastAsia="pl-PL"/>
                    </w:rPr>
                  </w:pPr>
                </w:p>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Tak/Nie</w:t>
                  </w:r>
                </w:p>
              </w:tc>
            </w:tr>
            <w:tr w:rsidR="001C2297" w:rsidRPr="001C2297" w:rsidTr="00316F63">
              <w:trPr>
                <w:trHeight w:val="69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6</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Automatyczny aparat do barwienia preparatów histopatologicznych wykonanych z materiałów utrwalanych w formalinie</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70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7</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System otwarty z możliwością stosowania przeciwciał pierwotnych innych producentów  niż producent aparatu</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12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8</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 xml:space="preserve">Automatyczne wykonywanie pełnego barwienia immunohistochemicznego od etapu </w:t>
                  </w:r>
                  <w:proofErr w:type="spellStart"/>
                  <w:r w:rsidRPr="001C2297">
                    <w:rPr>
                      <w:rFonts w:ascii="Times New Roman" w:eastAsia="Times New Roman" w:hAnsi="Times New Roman" w:cs="Times New Roman"/>
                      <w:lang w:eastAsia="pl-PL"/>
                    </w:rPr>
                    <w:t>deparafinizacji</w:t>
                  </w:r>
                  <w:proofErr w:type="spellEnd"/>
                  <w:r w:rsidRPr="001C2297">
                    <w:rPr>
                      <w:rFonts w:ascii="Times New Roman" w:eastAsia="Times New Roman" w:hAnsi="Times New Roman" w:cs="Times New Roman"/>
                      <w:lang w:eastAsia="pl-PL"/>
                    </w:rPr>
                    <w:t xml:space="preserve"> preparatów do barwienia tkanki metodami immunohistochemicznymi IHC, (z  możliwością wykonania barwień podwójnych IHC) lub opartymi na hybrydyzacji </w:t>
                  </w:r>
                  <w:proofErr w:type="spellStart"/>
                  <w:r w:rsidRPr="001C2297">
                    <w:rPr>
                      <w:rFonts w:ascii="Times New Roman" w:eastAsia="Times New Roman" w:hAnsi="Times New Roman" w:cs="Times New Roman"/>
                      <w:lang w:eastAsia="pl-PL"/>
                    </w:rPr>
                    <w:t>in</w:t>
                  </w:r>
                  <w:proofErr w:type="spellEnd"/>
                  <w:r w:rsidRPr="001C2297">
                    <w:rPr>
                      <w:rFonts w:ascii="Times New Roman" w:eastAsia="Times New Roman" w:hAnsi="Times New Roman" w:cs="Times New Roman"/>
                      <w:lang w:eastAsia="pl-PL"/>
                    </w:rPr>
                    <w:t xml:space="preserve"> situ (ISH, CISH, SISH)</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9</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color w:val="000000"/>
                      <w:lang w:eastAsia="pl-PL"/>
                    </w:rPr>
                  </w:pPr>
                  <w:r w:rsidRPr="001C2297">
                    <w:rPr>
                      <w:rFonts w:ascii="Times New Roman" w:eastAsia="Times New Roman" w:hAnsi="Times New Roman" w:cs="Times New Roman"/>
                      <w:color w:val="000000"/>
                      <w:lang w:eastAsia="pl-PL"/>
                    </w:rPr>
                    <w:t xml:space="preserve">Czas barwienia w jednym cyklu: 3,5 </w:t>
                  </w:r>
                  <w:proofErr w:type="spellStart"/>
                  <w:r w:rsidRPr="001C2297">
                    <w:rPr>
                      <w:rFonts w:ascii="Times New Roman" w:eastAsia="Times New Roman" w:hAnsi="Times New Roman" w:cs="Times New Roman"/>
                      <w:color w:val="000000"/>
                      <w:lang w:eastAsia="pl-PL"/>
                    </w:rPr>
                    <w:t>godz</w:t>
                  </w:r>
                  <w:proofErr w:type="spellEnd"/>
                  <w:r w:rsidRPr="001C2297">
                    <w:rPr>
                      <w:rFonts w:ascii="Times New Roman" w:eastAsia="Times New Roman" w:hAnsi="Times New Roman" w:cs="Times New Roman"/>
                      <w:color w:val="000000"/>
                      <w:lang w:eastAsia="pl-PL"/>
                    </w:rPr>
                    <w:t xml:space="preserve"> – 4 godz. dla IHC</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 oraz podać czas barwienia w jednym cyklu)</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3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10</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color w:val="000000"/>
                      <w:lang w:eastAsia="pl-PL"/>
                    </w:rPr>
                  </w:pPr>
                  <w:r w:rsidRPr="001C2297">
                    <w:rPr>
                      <w:rFonts w:ascii="Times New Roman" w:eastAsia="Times New Roman" w:hAnsi="Times New Roman" w:cs="Times New Roman"/>
                      <w:color w:val="000000"/>
                      <w:lang w:eastAsia="pl-PL"/>
                    </w:rPr>
                    <w:t>Minimum 20 miejsc na preparaty mikroskopowe</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 oraz podać ilość miejsc na preparaty mikroskopowe)</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3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11</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Możliwość oznaczenia od 1 do  17 przeciwciał w jednym cyklu pracy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 oraz podać ilość przeciwciał)</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12</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Aparat bezigłowy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73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lastRenderedPageBreak/>
                    <w:t>13</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Ilość dozowanego odczynnika jednolita dla każdego oznaczenia, niezależnie od wielkości badanego materiału na szkiełku podstawowym</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14</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Identyfikacja preparatów za pomocą kodów kreskowych</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54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15</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 xml:space="preserve">Odczynniki barwiące wprowadzane za pomocą </w:t>
                  </w:r>
                  <w:proofErr w:type="spellStart"/>
                  <w:r w:rsidRPr="001C2297">
                    <w:rPr>
                      <w:rFonts w:ascii="Times New Roman" w:eastAsia="Times New Roman" w:hAnsi="Times New Roman" w:cs="Times New Roman"/>
                      <w:lang w:eastAsia="pl-PL"/>
                    </w:rPr>
                    <w:t>barkodów</w:t>
                  </w:r>
                  <w:proofErr w:type="spellEnd"/>
                  <w:r w:rsidRPr="001C2297">
                    <w:rPr>
                      <w:rFonts w:ascii="Times New Roman" w:eastAsia="Times New Roman" w:hAnsi="Times New Roman" w:cs="Times New Roman"/>
                      <w:lang w:eastAsia="pl-PL"/>
                    </w:rPr>
                    <w:t xml:space="preserve"> lub chipów</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54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16</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 xml:space="preserve">Drukarka do </w:t>
                  </w:r>
                  <w:proofErr w:type="spellStart"/>
                  <w:r w:rsidRPr="001C2297">
                    <w:rPr>
                      <w:rFonts w:ascii="Times New Roman" w:eastAsia="Times New Roman" w:hAnsi="Times New Roman" w:cs="Times New Roman"/>
                      <w:lang w:eastAsia="pl-PL"/>
                    </w:rPr>
                    <w:t>barkodów</w:t>
                  </w:r>
                  <w:proofErr w:type="spellEnd"/>
                  <w:r w:rsidRPr="001C2297">
                    <w:rPr>
                      <w:rFonts w:ascii="Times New Roman" w:eastAsia="Times New Roman" w:hAnsi="Times New Roman" w:cs="Times New Roman"/>
                      <w:lang w:eastAsia="pl-PL"/>
                    </w:rPr>
                    <w:t xml:space="preserve"> (kodów kreskowych)</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64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17</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Aparat zabezpieczający tkankę przed wysychaniem na każdym etapie barwienia bez konieczności stosowania dodatkowych nakładek na szkiełka</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18</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Możliwość zaprogramowania opóźnionego startu</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19</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 xml:space="preserve">Możliwość stosowania </w:t>
                  </w:r>
                  <w:proofErr w:type="spellStart"/>
                  <w:r w:rsidRPr="001C2297">
                    <w:rPr>
                      <w:rFonts w:ascii="Times New Roman" w:eastAsia="Times New Roman" w:hAnsi="Times New Roman" w:cs="Times New Roman"/>
                      <w:lang w:eastAsia="pl-PL"/>
                    </w:rPr>
                    <w:t>bezksylenowej</w:t>
                  </w:r>
                  <w:proofErr w:type="spellEnd"/>
                  <w:r w:rsidRPr="001C2297">
                    <w:rPr>
                      <w:rFonts w:ascii="Times New Roman" w:eastAsia="Times New Roman" w:hAnsi="Times New Roman" w:cs="Times New Roman"/>
                      <w:lang w:eastAsia="pl-PL"/>
                    </w:rPr>
                    <w:t xml:space="preserve"> techniki przeprowadzania preparatów</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20</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Odpady nie wymagające neutralizacji</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9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21</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color w:val="231F20"/>
                      <w:lang w:eastAsia="pl-PL"/>
                    </w:rPr>
                  </w:pPr>
                  <w:r w:rsidRPr="001C2297">
                    <w:rPr>
                      <w:rFonts w:ascii="Times New Roman" w:eastAsia="Times New Roman" w:hAnsi="Times New Roman" w:cs="Times New Roman"/>
                      <w:color w:val="231F20"/>
                      <w:lang w:eastAsia="pl-PL"/>
                    </w:rPr>
                    <w:t>Wyposażenie w system zasilania awaryjnego</w:t>
                  </w:r>
                  <w:r w:rsidRPr="001C2297">
                    <w:rPr>
                      <w:rFonts w:ascii="Times New Roman" w:eastAsia="Times New Roman" w:hAnsi="Times New Roman" w:cs="Times New Roman"/>
                      <w:lang w:eastAsia="pl-PL"/>
                    </w:rPr>
                    <w:t xml:space="preserve">, umożliwiający bezpieczne zakończenie procesu </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r w:rsidR="001C2297" w:rsidRPr="001C2297" w:rsidTr="00316F63">
              <w:trPr>
                <w:trHeight w:val="4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C2297" w:rsidRPr="001C2297" w:rsidRDefault="001C2297" w:rsidP="001C2297">
                  <w:pPr>
                    <w:spacing w:after="0" w:line="240" w:lineRule="auto"/>
                    <w:jc w:val="center"/>
                    <w:rPr>
                      <w:rFonts w:ascii="Times New Roman" w:eastAsia="Times New Roman" w:hAnsi="Times New Roman" w:cs="Times New Roman"/>
                      <w:b/>
                      <w:bCs/>
                      <w:lang w:eastAsia="pl-PL"/>
                    </w:rPr>
                  </w:pPr>
                  <w:r w:rsidRPr="001C2297">
                    <w:rPr>
                      <w:rFonts w:ascii="Times New Roman" w:eastAsia="Times New Roman" w:hAnsi="Times New Roman" w:cs="Times New Roman"/>
                      <w:b/>
                      <w:bCs/>
                      <w:lang w:eastAsia="pl-PL"/>
                    </w:rPr>
                    <w:t>22</w:t>
                  </w:r>
                </w:p>
              </w:tc>
              <w:tc>
                <w:tcPr>
                  <w:tcW w:w="3878" w:type="dxa"/>
                  <w:tcBorders>
                    <w:top w:val="single" w:sz="4" w:space="0" w:color="auto"/>
                    <w:left w:val="nil"/>
                    <w:bottom w:val="single" w:sz="4" w:space="0" w:color="auto"/>
                    <w:right w:val="nil"/>
                  </w:tcBorders>
                  <w:shd w:val="clear" w:color="auto" w:fill="auto"/>
                  <w:vAlign w:val="center"/>
                  <w:hideMark/>
                </w:tcPr>
                <w:p w:rsidR="001C2297" w:rsidRPr="001C2297" w:rsidRDefault="001C2297" w:rsidP="001C2297">
                  <w:pPr>
                    <w:spacing w:after="0" w:line="240" w:lineRule="auto"/>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Możliwość zdalnej obsługi oraz serwisowania przez Internet lub linię telefoniczną</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297" w:rsidRPr="001C2297" w:rsidRDefault="001C2297" w:rsidP="001C2297">
                  <w:pPr>
                    <w:spacing w:after="0" w:line="240" w:lineRule="auto"/>
                    <w:jc w:val="center"/>
                    <w:rPr>
                      <w:rFonts w:ascii="Times New Roman" w:eastAsia="Times New Roman" w:hAnsi="Times New Roman" w:cs="Times New Roman"/>
                      <w:lang w:eastAsia="pl-PL"/>
                    </w:rPr>
                  </w:pPr>
                  <w:r w:rsidRPr="001C2297">
                    <w:rPr>
                      <w:rFonts w:ascii="Times New Roman" w:eastAsia="Times New Roman" w:hAnsi="Times New Roman" w:cs="Times New Roman"/>
                      <w:lang w:eastAsia="pl-PL"/>
                    </w:rPr>
                    <w:t>TAK/NIE (potwierdzić)</w:t>
                  </w:r>
                </w:p>
              </w:tc>
              <w:tc>
                <w:tcPr>
                  <w:tcW w:w="2890" w:type="dxa"/>
                  <w:tcBorders>
                    <w:top w:val="single" w:sz="4" w:space="0" w:color="auto"/>
                    <w:left w:val="single" w:sz="4" w:space="0" w:color="auto"/>
                    <w:bottom w:val="single" w:sz="4" w:space="0" w:color="auto"/>
                    <w:right w:val="single" w:sz="4" w:space="0" w:color="000000"/>
                  </w:tcBorders>
                  <w:shd w:val="clear" w:color="auto" w:fill="FFFF00"/>
                </w:tcPr>
                <w:p w:rsidR="001C2297" w:rsidRPr="001C2297" w:rsidRDefault="001C2297" w:rsidP="001C2297">
                  <w:pPr>
                    <w:spacing w:after="0" w:line="240" w:lineRule="auto"/>
                    <w:jc w:val="center"/>
                    <w:rPr>
                      <w:rFonts w:ascii="Times New Roman" w:eastAsia="Times New Roman" w:hAnsi="Times New Roman" w:cs="Times New Roman"/>
                      <w:lang w:eastAsia="pl-PL"/>
                    </w:rPr>
                  </w:pPr>
                </w:p>
              </w:tc>
            </w:tr>
          </w:tbl>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1C2297" w:rsidRDefault="001C2297" w:rsidP="001D1A34">
            <w:pPr>
              <w:spacing w:after="0"/>
              <w:jc w:val="center"/>
              <w:rPr>
                <w:rFonts w:ascii="Times New Roman" w:hAnsi="Times New Roman" w:cs="Times New Roman"/>
                <w:b/>
                <w:sz w:val="32"/>
                <w:szCs w:val="32"/>
                <w:highlight w:val="yellow"/>
              </w:rPr>
            </w:pPr>
          </w:p>
          <w:p w:rsidR="00EA70BA" w:rsidRDefault="00EA70BA" w:rsidP="001D1A34">
            <w:pPr>
              <w:spacing w:after="0"/>
              <w:jc w:val="center"/>
              <w:rPr>
                <w:rFonts w:ascii="Times New Roman" w:hAnsi="Times New Roman" w:cs="Times New Roman"/>
                <w:b/>
                <w:sz w:val="32"/>
                <w:szCs w:val="32"/>
                <w:highlight w:val="yellow"/>
              </w:rPr>
            </w:pPr>
            <w:r>
              <w:rPr>
                <w:rFonts w:ascii="Times New Roman" w:hAnsi="Times New Roman" w:cs="Times New Roman"/>
                <w:b/>
                <w:sz w:val="32"/>
                <w:szCs w:val="32"/>
                <w:highlight w:val="yellow"/>
              </w:rPr>
              <w:lastRenderedPageBreak/>
              <w:t xml:space="preserve">Modyfikacja </w:t>
            </w:r>
          </w:p>
          <w:p w:rsidR="001D1A34" w:rsidRPr="001D1A34" w:rsidRDefault="00EA70BA" w:rsidP="001D1A34">
            <w:pPr>
              <w:spacing w:after="0"/>
              <w:jc w:val="center"/>
              <w:rPr>
                <w:rFonts w:ascii="Times New Roman" w:hAnsi="Times New Roman" w:cs="Times New Roman"/>
                <w:b/>
                <w:color w:val="000000"/>
                <w:sz w:val="32"/>
                <w:szCs w:val="32"/>
              </w:rPr>
            </w:pPr>
            <w:r>
              <w:rPr>
                <w:rFonts w:ascii="Times New Roman" w:hAnsi="Times New Roman" w:cs="Times New Roman"/>
                <w:b/>
                <w:sz w:val="32"/>
                <w:szCs w:val="32"/>
                <w:highlight w:val="yellow"/>
              </w:rPr>
              <w:t>W</w:t>
            </w:r>
            <w:r w:rsidR="001D1A34" w:rsidRPr="0056641A">
              <w:rPr>
                <w:rFonts w:ascii="Times New Roman" w:hAnsi="Times New Roman" w:cs="Times New Roman"/>
                <w:b/>
                <w:sz w:val="32"/>
                <w:szCs w:val="32"/>
                <w:highlight w:val="yellow"/>
              </w:rPr>
              <w:t>ymaga</w:t>
            </w:r>
            <w:r>
              <w:rPr>
                <w:rFonts w:ascii="Times New Roman" w:hAnsi="Times New Roman" w:cs="Times New Roman"/>
                <w:b/>
                <w:sz w:val="32"/>
                <w:szCs w:val="32"/>
                <w:highlight w:val="yellow"/>
              </w:rPr>
              <w:t>nia w zakresie</w:t>
            </w:r>
            <w:r w:rsidR="001D1A34" w:rsidRPr="0056641A">
              <w:rPr>
                <w:rFonts w:ascii="Times New Roman" w:hAnsi="Times New Roman" w:cs="Times New Roman"/>
                <w:b/>
                <w:sz w:val="32"/>
                <w:szCs w:val="32"/>
                <w:highlight w:val="yellow"/>
              </w:rPr>
              <w:t xml:space="preserve"> </w:t>
            </w:r>
            <w:r w:rsidR="001D1A34" w:rsidRPr="0056641A">
              <w:rPr>
                <w:rFonts w:ascii="Times New Roman" w:hAnsi="Times New Roman" w:cs="Times New Roman"/>
                <w:b/>
                <w:color w:val="000000"/>
                <w:sz w:val="32"/>
                <w:szCs w:val="32"/>
                <w:highlight w:val="yellow"/>
              </w:rPr>
              <w:t>zadania nr 6</w:t>
            </w:r>
          </w:p>
          <w:p w:rsidR="001D1A34" w:rsidRPr="001D1A34" w:rsidRDefault="001D1A34" w:rsidP="001D1A34">
            <w:pPr>
              <w:spacing w:after="0"/>
              <w:jc w:val="center"/>
              <w:rPr>
                <w:rFonts w:ascii="Times New Roman" w:hAnsi="Times New Roman" w:cs="Times New Roman"/>
                <w:sz w:val="24"/>
                <w:szCs w:val="24"/>
              </w:rPr>
            </w:pPr>
          </w:p>
          <w:p w:rsidR="001D1A34" w:rsidRDefault="007E2C5C" w:rsidP="00432A64">
            <w:pPr>
              <w:shd w:val="clear" w:color="auto" w:fill="00B0F0"/>
              <w:spacing w:after="0" w:line="240" w:lineRule="auto"/>
              <w:jc w:val="center"/>
              <w:rPr>
                <w:rFonts w:ascii="Times New Roman" w:eastAsia="Times New Roman" w:hAnsi="Times New Roman" w:cs="Times New Roman"/>
                <w:b/>
                <w:bCs/>
                <w:sz w:val="24"/>
                <w:szCs w:val="24"/>
                <w:lang w:eastAsia="pl-PL"/>
              </w:rPr>
            </w:pPr>
            <w:r w:rsidRPr="001D1A34">
              <w:rPr>
                <w:rFonts w:ascii="Times New Roman" w:eastAsia="Times New Roman" w:hAnsi="Times New Roman" w:cs="Times New Roman"/>
                <w:b/>
                <w:bCs/>
                <w:sz w:val="24"/>
                <w:szCs w:val="24"/>
                <w:lang w:eastAsia="pl-PL"/>
              </w:rPr>
              <w:t xml:space="preserve">PARAMETRY SYSTEMU DO WYKRYWANIA DROBNOUSTROJÓW Z KRWI </w:t>
            </w:r>
          </w:p>
          <w:p w:rsidR="007E2C5C" w:rsidRDefault="007E2C5C" w:rsidP="00432A64">
            <w:pPr>
              <w:shd w:val="clear" w:color="auto" w:fill="00B0F0"/>
              <w:spacing w:after="0" w:line="240" w:lineRule="auto"/>
              <w:jc w:val="center"/>
              <w:rPr>
                <w:rFonts w:ascii="Times New Roman" w:eastAsia="Times New Roman" w:hAnsi="Times New Roman" w:cs="Times New Roman"/>
                <w:b/>
                <w:bCs/>
                <w:sz w:val="24"/>
                <w:szCs w:val="24"/>
                <w:lang w:eastAsia="pl-PL"/>
              </w:rPr>
            </w:pPr>
            <w:r w:rsidRPr="001D1A34">
              <w:rPr>
                <w:rFonts w:ascii="Times New Roman" w:eastAsia="Times New Roman" w:hAnsi="Times New Roman" w:cs="Times New Roman"/>
                <w:b/>
                <w:bCs/>
                <w:sz w:val="24"/>
                <w:szCs w:val="24"/>
                <w:lang w:eastAsia="pl-PL"/>
              </w:rPr>
              <w:t>I PŁYNÓW USTROJOWYCH</w:t>
            </w:r>
          </w:p>
          <w:p w:rsidR="001D1A34" w:rsidRDefault="001D1A34" w:rsidP="007E2C5C">
            <w:pPr>
              <w:spacing w:after="0" w:line="240" w:lineRule="auto"/>
              <w:rPr>
                <w:rFonts w:ascii="Times New Roman" w:eastAsia="Times New Roman" w:hAnsi="Times New Roman" w:cs="Times New Roman"/>
                <w:b/>
                <w:bCs/>
                <w:sz w:val="24"/>
                <w:szCs w:val="24"/>
                <w:lang w:eastAsia="pl-PL"/>
              </w:rPr>
            </w:pPr>
          </w:p>
          <w:p w:rsidR="001D1A34" w:rsidRPr="001D1A34" w:rsidRDefault="001D1A34" w:rsidP="007E2C5C">
            <w:pPr>
              <w:spacing w:after="0" w:line="240" w:lineRule="auto"/>
              <w:rPr>
                <w:rFonts w:ascii="Times New Roman" w:eastAsia="Times New Roman" w:hAnsi="Times New Roman" w:cs="Times New Roman"/>
                <w:b/>
                <w:bCs/>
                <w:sz w:val="24"/>
                <w:szCs w:val="24"/>
                <w:lang w:eastAsia="pl-PL"/>
              </w:rPr>
            </w:pPr>
          </w:p>
        </w:tc>
      </w:tr>
      <w:tr w:rsidR="007E2C5C" w:rsidRPr="001D1A34" w:rsidTr="00245AFF">
        <w:trPr>
          <w:trHeight w:val="525"/>
        </w:trPr>
        <w:tc>
          <w:tcPr>
            <w:tcW w:w="7826" w:type="dxa"/>
            <w:gridSpan w:val="2"/>
            <w:tcBorders>
              <w:top w:val="single" w:sz="4" w:space="0" w:color="auto"/>
              <w:left w:val="single" w:sz="4" w:space="0" w:color="auto"/>
              <w:bottom w:val="single" w:sz="4" w:space="0" w:color="auto"/>
              <w:right w:val="nil"/>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lastRenderedPageBreak/>
              <w:t>Parametry bezwzględnie wymagane</w:t>
            </w:r>
          </w:p>
        </w:tc>
        <w:tc>
          <w:tcPr>
            <w:tcW w:w="2315" w:type="dxa"/>
            <w:gridSpan w:val="3"/>
            <w:tcBorders>
              <w:top w:val="single" w:sz="4" w:space="0" w:color="auto"/>
              <w:left w:val="single" w:sz="4" w:space="0" w:color="auto"/>
              <w:bottom w:val="single" w:sz="4" w:space="0" w:color="auto"/>
              <w:right w:val="single" w:sz="4" w:space="0" w:color="000000"/>
            </w:tcBorders>
            <w:shd w:val="clear" w:color="auto" w:fill="FFFF00"/>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Opis spełnianie wymagania                                       - należy potwierdzić TAK</w:t>
            </w:r>
          </w:p>
        </w:tc>
      </w:tr>
      <w:tr w:rsidR="007E2C5C" w:rsidRPr="001D1A34" w:rsidTr="00245AFF">
        <w:trPr>
          <w:trHeight w:val="67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1</w:t>
            </w:r>
          </w:p>
        </w:tc>
        <w:tc>
          <w:tcPr>
            <w:tcW w:w="7319" w:type="dxa"/>
            <w:tcBorders>
              <w:top w:val="nil"/>
              <w:left w:val="nil"/>
              <w:bottom w:val="single" w:sz="4" w:space="0" w:color="auto"/>
              <w:right w:val="single" w:sz="4" w:space="0" w:color="auto"/>
            </w:tcBorders>
            <w:shd w:val="clear" w:color="auto" w:fill="auto"/>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Aparat najnowszego typu  będący w ofercie danej firmy. Rok produkcji aparatu nie wcześniej niż 2016</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90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2</w:t>
            </w:r>
          </w:p>
        </w:tc>
        <w:tc>
          <w:tcPr>
            <w:tcW w:w="7319" w:type="dxa"/>
            <w:tcBorders>
              <w:top w:val="nil"/>
              <w:left w:val="nil"/>
              <w:bottom w:val="single" w:sz="4" w:space="0" w:color="auto"/>
              <w:right w:val="single" w:sz="4" w:space="0" w:color="auto"/>
            </w:tcBorders>
            <w:shd w:val="clear" w:color="auto" w:fill="auto"/>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Hodowla i detekcja wzrostu we wszystkich wymaganych podłożach odbywająca się w obrębie jednego aparatu</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22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3</w:t>
            </w:r>
          </w:p>
        </w:tc>
        <w:tc>
          <w:tcPr>
            <w:tcW w:w="7319" w:type="dxa"/>
            <w:tcBorders>
              <w:top w:val="nil"/>
              <w:left w:val="nil"/>
              <w:bottom w:val="single" w:sz="4" w:space="0" w:color="auto"/>
              <w:right w:val="single" w:sz="4" w:space="0" w:color="auto"/>
            </w:tcBorders>
            <w:shd w:val="clear" w:color="auto" w:fill="auto"/>
            <w:noWrap/>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Ilość miejsc w aparacie 60 do 120</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112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4</w:t>
            </w:r>
          </w:p>
        </w:tc>
        <w:tc>
          <w:tcPr>
            <w:tcW w:w="7319" w:type="dxa"/>
            <w:tcBorders>
              <w:top w:val="nil"/>
              <w:left w:val="nil"/>
              <w:bottom w:val="single" w:sz="4" w:space="0" w:color="auto"/>
              <w:right w:val="single" w:sz="4" w:space="0" w:color="auto"/>
            </w:tcBorders>
            <w:shd w:val="clear" w:color="auto" w:fill="auto"/>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Dla butelek przeznaczonych dla pacjentów dorosłych wykrywanie drobnoustrojów z krwi i płynów ustrojowych (potwierdzenie w dołączonej do oferty  metodyce producenta)</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22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5</w:t>
            </w:r>
          </w:p>
        </w:tc>
        <w:tc>
          <w:tcPr>
            <w:tcW w:w="7319" w:type="dxa"/>
            <w:tcBorders>
              <w:top w:val="nil"/>
              <w:left w:val="nil"/>
              <w:bottom w:val="single" w:sz="4" w:space="0" w:color="auto"/>
              <w:right w:val="single" w:sz="4" w:space="0" w:color="auto"/>
            </w:tcBorders>
            <w:shd w:val="clear" w:color="auto" w:fill="auto"/>
            <w:noWrap/>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Podłoża bez inhibitorów antybiotyków</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22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6</w:t>
            </w:r>
          </w:p>
        </w:tc>
        <w:tc>
          <w:tcPr>
            <w:tcW w:w="7319" w:type="dxa"/>
            <w:tcBorders>
              <w:top w:val="nil"/>
              <w:left w:val="nil"/>
              <w:bottom w:val="single" w:sz="4" w:space="0" w:color="auto"/>
              <w:right w:val="single" w:sz="4" w:space="0" w:color="auto"/>
            </w:tcBorders>
            <w:shd w:val="clear" w:color="auto" w:fill="auto"/>
            <w:noWrap/>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Podłoża z inhibitorami antybiotyków</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22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7</w:t>
            </w:r>
          </w:p>
        </w:tc>
        <w:tc>
          <w:tcPr>
            <w:tcW w:w="7319" w:type="dxa"/>
            <w:tcBorders>
              <w:top w:val="nil"/>
              <w:left w:val="nil"/>
              <w:bottom w:val="single" w:sz="4" w:space="0" w:color="auto"/>
              <w:right w:val="single" w:sz="4" w:space="0" w:color="auto"/>
            </w:tcBorders>
            <w:shd w:val="clear" w:color="auto" w:fill="auto"/>
            <w:noWrap/>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Podłoża pediatryczne</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45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8</w:t>
            </w:r>
          </w:p>
        </w:tc>
        <w:tc>
          <w:tcPr>
            <w:tcW w:w="7319" w:type="dxa"/>
            <w:tcBorders>
              <w:top w:val="nil"/>
              <w:left w:val="nil"/>
              <w:bottom w:val="single" w:sz="4" w:space="0" w:color="auto"/>
              <w:right w:val="single" w:sz="4" w:space="0" w:color="auto"/>
            </w:tcBorders>
            <w:shd w:val="clear" w:color="auto" w:fill="auto"/>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Aparat wyposażony w drukarkę laserową</w:t>
            </w:r>
          </w:p>
        </w:tc>
        <w:tc>
          <w:tcPr>
            <w:tcW w:w="2315"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45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9</w:t>
            </w:r>
          </w:p>
        </w:tc>
        <w:tc>
          <w:tcPr>
            <w:tcW w:w="7319" w:type="dxa"/>
            <w:tcBorders>
              <w:top w:val="nil"/>
              <w:left w:val="nil"/>
              <w:bottom w:val="single" w:sz="4" w:space="0" w:color="auto"/>
              <w:right w:val="single" w:sz="4" w:space="0" w:color="auto"/>
            </w:tcBorders>
            <w:shd w:val="clear" w:color="auto" w:fill="auto"/>
            <w:vAlign w:val="bottom"/>
            <w:hideMark/>
          </w:tcPr>
          <w:p w:rsidR="007E2C5C" w:rsidRPr="001D1A34" w:rsidRDefault="007E2C5C" w:rsidP="0056641A">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Napełniane butelki o wadze maksymalnej 100 g/sztuka </w:t>
            </w:r>
          </w:p>
        </w:tc>
        <w:tc>
          <w:tcPr>
            <w:tcW w:w="2315" w:type="dxa"/>
            <w:gridSpan w:val="3"/>
            <w:tcBorders>
              <w:top w:val="single" w:sz="4" w:space="0" w:color="auto"/>
              <w:left w:val="nil"/>
              <w:bottom w:val="single" w:sz="4" w:space="0" w:color="auto"/>
              <w:right w:val="single" w:sz="4" w:space="0" w:color="auto"/>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7E2C5C" w:rsidRPr="001D1A34" w:rsidTr="00245AFF">
        <w:trPr>
          <w:trHeight w:val="45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10</w:t>
            </w:r>
          </w:p>
        </w:tc>
        <w:tc>
          <w:tcPr>
            <w:tcW w:w="7319" w:type="dxa"/>
            <w:tcBorders>
              <w:top w:val="nil"/>
              <w:left w:val="nil"/>
              <w:bottom w:val="single" w:sz="4" w:space="0" w:color="auto"/>
              <w:right w:val="single" w:sz="4" w:space="0" w:color="auto"/>
            </w:tcBorders>
            <w:shd w:val="clear" w:color="auto" w:fill="auto"/>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xml:space="preserve"> Hodowla bakterii i grzybów w tym samym podłożu</w:t>
            </w:r>
          </w:p>
        </w:tc>
        <w:tc>
          <w:tcPr>
            <w:tcW w:w="2315"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r w:rsidRPr="001D1A34">
              <w:rPr>
                <w:rFonts w:ascii="Times New Roman" w:eastAsia="Times New Roman" w:hAnsi="Times New Roman" w:cs="Times New Roman"/>
                <w:sz w:val="24"/>
                <w:szCs w:val="24"/>
                <w:lang w:eastAsia="pl-PL"/>
              </w:rPr>
              <w:t> </w:t>
            </w:r>
          </w:p>
        </w:tc>
      </w:tr>
      <w:tr w:rsidR="00EA70BA" w:rsidRPr="001D1A34" w:rsidTr="00245AFF">
        <w:trPr>
          <w:trHeight w:val="450"/>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A70BA" w:rsidRPr="000B4F83" w:rsidRDefault="00EA70BA" w:rsidP="007E2C5C">
            <w:pPr>
              <w:spacing w:after="0" w:line="240" w:lineRule="auto"/>
              <w:jc w:val="center"/>
              <w:rPr>
                <w:rFonts w:ascii="Times New Roman" w:eastAsia="Times New Roman" w:hAnsi="Times New Roman" w:cs="Times New Roman"/>
                <w:color w:val="FF0000"/>
                <w:sz w:val="24"/>
                <w:szCs w:val="24"/>
                <w:lang w:eastAsia="pl-PL"/>
              </w:rPr>
            </w:pPr>
            <w:r w:rsidRPr="000B4F83">
              <w:rPr>
                <w:rFonts w:ascii="Times New Roman" w:eastAsia="Times New Roman" w:hAnsi="Times New Roman" w:cs="Times New Roman"/>
                <w:color w:val="FF0000"/>
                <w:sz w:val="24"/>
                <w:szCs w:val="24"/>
                <w:lang w:eastAsia="pl-PL"/>
              </w:rPr>
              <w:t>11</w:t>
            </w:r>
          </w:p>
        </w:tc>
        <w:tc>
          <w:tcPr>
            <w:tcW w:w="7319" w:type="dxa"/>
            <w:tcBorders>
              <w:top w:val="nil"/>
              <w:left w:val="nil"/>
              <w:bottom w:val="single" w:sz="4" w:space="0" w:color="auto"/>
              <w:right w:val="single" w:sz="4" w:space="0" w:color="auto"/>
            </w:tcBorders>
            <w:shd w:val="clear" w:color="auto" w:fill="auto"/>
            <w:vAlign w:val="bottom"/>
            <w:hideMark/>
          </w:tcPr>
          <w:p w:rsidR="00EA70BA" w:rsidRPr="000B4F83" w:rsidRDefault="00EA70BA" w:rsidP="00EA70BA">
            <w:pPr>
              <w:spacing w:after="0" w:line="240" w:lineRule="auto"/>
              <w:rPr>
                <w:rFonts w:ascii="Times New Roman" w:eastAsia="Times New Roman" w:hAnsi="Times New Roman" w:cs="Times New Roman"/>
                <w:color w:val="FF0000"/>
                <w:sz w:val="24"/>
                <w:szCs w:val="24"/>
                <w:lang w:eastAsia="pl-PL"/>
              </w:rPr>
            </w:pPr>
            <w:r w:rsidRPr="000B4F83">
              <w:rPr>
                <w:rFonts w:ascii="Times New Roman" w:hAnsi="Times New Roman" w:cs="Times New Roman"/>
                <w:color w:val="FF0000"/>
                <w:sz w:val="24"/>
                <w:szCs w:val="24"/>
                <w:lang w:eastAsia="pl-PL"/>
              </w:rPr>
              <w:t xml:space="preserve">Podłoża umożliwiające  wizualną ocenę wzrostu drobnoustrojów na podstawie zmiany zabarwienia czujnika/sensora znajdującego się na dnie butelki przed włożeniem do aparatu co umożliwi przyspieszenie procesu diagnostycznego </w:t>
            </w:r>
          </w:p>
        </w:tc>
        <w:tc>
          <w:tcPr>
            <w:tcW w:w="2315"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EA70BA" w:rsidRPr="001D1A34" w:rsidRDefault="00EA70BA" w:rsidP="007E2C5C">
            <w:pPr>
              <w:spacing w:after="0" w:line="240" w:lineRule="auto"/>
              <w:jc w:val="center"/>
              <w:rPr>
                <w:rFonts w:ascii="Times New Roman" w:eastAsia="Times New Roman" w:hAnsi="Times New Roman" w:cs="Times New Roman"/>
                <w:sz w:val="24"/>
                <w:szCs w:val="24"/>
                <w:lang w:eastAsia="pl-PL"/>
              </w:rPr>
            </w:pPr>
          </w:p>
        </w:tc>
      </w:tr>
      <w:tr w:rsidR="007E2C5C" w:rsidRPr="001D1A34" w:rsidTr="00245AFF">
        <w:trPr>
          <w:trHeight w:val="225"/>
        </w:trPr>
        <w:tc>
          <w:tcPr>
            <w:tcW w:w="507" w:type="dxa"/>
            <w:tcBorders>
              <w:top w:val="nil"/>
              <w:left w:val="nil"/>
              <w:bottom w:val="nil"/>
              <w:right w:val="nil"/>
            </w:tcBorders>
            <w:shd w:val="clear" w:color="auto" w:fill="auto"/>
            <w:noWrap/>
            <w:vAlign w:val="center"/>
            <w:hideMark/>
          </w:tcPr>
          <w:p w:rsidR="007E2C5C" w:rsidRPr="001D1A34" w:rsidRDefault="007E2C5C" w:rsidP="007E2C5C">
            <w:pPr>
              <w:spacing w:after="0" w:line="240" w:lineRule="auto"/>
              <w:jc w:val="center"/>
              <w:rPr>
                <w:rFonts w:ascii="Times New Roman" w:eastAsia="Times New Roman" w:hAnsi="Times New Roman" w:cs="Times New Roman"/>
                <w:sz w:val="24"/>
                <w:szCs w:val="24"/>
                <w:lang w:eastAsia="pl-PL"/>
              </w:rPr>
            </w:pPr>
          </w:p>
        </w:tc>
        <w:tc>
          <w:tcPr>
            <w:tcW w:w="7319" w:type="dxa"/>
            <w:tcBorders>
              <w:top w:val="nil"/>
              <w:left w:val="nil"/>
              <w:bottom w:val="nil"/>
              <w:right w:val="nil"/>
            </w:tcBorders>
            <w:shd w:val="clear" w:color="auto" w:fill="auto"/>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p>
        </w:tc>
        <w:tc>
          <w:tcPr>
            <w:tcW w:w="577" w:type="dxa"/>
            <w:tcBorders>
              <w:top w:val="nil"/>
              <w:left w:val="nil"/>
              <w:bottom w:val="nil"/>
              <w:right w:val="nil"/>
            </w:tcBorders>
            <w:shd w:val="clear" w:color="auto" w:fill="auto"/>
            <w:noWrap/>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p>
        </w:tc>
        <w:tc>
          <w:tcPr>
            <w:tcW w:w="490" w:type="dxa"/>
            <w:tcBorders>
              <w:top w:val="nil"/>
              <w:left w:val="nil"/>
              <w:bottom w:val="nil"/>
              <w:right w:val="nil"/>
            </w:tcBorders>
            <w:shd w:val="clear" w:color="auto" w:fill="auto"/>
            <w:noWrap/>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p>
        </w:tc>
        <w:tc>
          <w:tcPr>
            <w:tcW w:w="1248" w:type="dxa"/>
            <w:tcBorders>
              <w:top w:val="nil"/>
              <w:left w:val="nil"/>
              <w:bottom w:val="nil"/>
              <w:right w:val="nil"/>
            </w:tcBorders>
            <w:shd w:val="clear" w:color="auto" w:fill="auto"/>
            <w:noWrap/>
            <w:vAlign w:val="bottom"/>
            <w:hideMark/>
          </w:tcPr>
          <w:p w:rsidR="007E2C5C" w:rsidRPr="001D1A34" w:rsidRDefault="007E2C5C" w:rsidP="007E2C5C">
            <w:pPr>
              <w:spacing w:after="0" w:line="240" w:lineRule="auto"/>
              <w:rPr>
                <w:rFonts w:ascii="Times New Roman" w:eastAsia="Times New Roman" w:hAnsi="Times New Roman" w:cs="Times New Roman"/>
                <w:sz w:val="24"/>
                <w:szCs w:val="24"/>
                <w:lang w:eastAsia="pl-PL"/>
              </w:rPr>
            </w:pPr>
          </w:p>
        </w:tc>
      </w:tr>
    </w:tbl>
    <w:p w:rsidR="007E3354" w:rsidRPr="001D1A34" w:rsidRDefault="007E3354" w:rsidP="0036004F">
      <w:pPr>
        <w:spacing w:after="0" w:line="240" w:lineRule="auto"/>
        <w:rPr>
          <w:rFonts w:ascii="Times New Roman" w:hAnsi="Times New Roman" w:cs="Times New Roman"/>
          <w:sz w:val="24"/>
          <w:szCs w:val="24"/>
        </w:rPr>
      </w:pPr>
      <w:r w:rsidRPr="001D1A34">
        <w:rPr>
          <w:rFonts w:ascii="Times New Roman" w:hAnsi="Times New Roman" w:cs="Times New Roman"/>
          <w:sz w:val="24"/>
          <w:szCs w:val="24"/>
        </w:rPr>
        <w:t>Powyższe wymagania są niezbędne do spełnienia by uznać ofertę za ważną, niepodlegającą odrzuceniu.</w:t>
      </w:r>
    </w:p>
    <w:p w:rsidR="007E3354" w:rsidRDefault="007E3354" w:rsidP="0036004F">
      <w:pPr>
        <w:spacing w:after="0" w:line="240" w:lineRule="auto"/>
        <w:rPr>
          <w:sz w:val="28"/>
          <w:szCs w:val="28"/>
        </w:rPr>
      </w:pPr>
    </w:p>
    <w:p w:rsidR="009A2CD6" w:rsidRDefault="009A2CD6" w:rsidP="009A2CD6"/>
    <w:p w:rsidR="009A2CD6" w:rsidRDefault="009A2CD6" w:rsidP="009A2CD6"/>
    <w:p w:rsidR="001211A6" w:rsidRDefault="001211A6" w:rsidP="009A2CD6"/>
    <w:p w:rsidR="001211A6" w:rsidRDefault="001211A6" w:rsidP="009A2CD6"/>
    <w:p w:rsidR="001211A6" w:rsidRDefault="001211A6" w:rsidP="009A2CD6"/>
    <w:p w:rsidR="001211A6" w:rsidRDefault="001211A6" w:rsidP="009A2CD6"/>
    <w:tbl>
      <w:tblPr>
        <w:tblW w:w="9462" w:type="dxa"/>
        <w:tblInd w:w="55" w:type="dxa"/>
        <w:tblCellMar>
          <w:left w:w="70" w:type="dxa"/>
          <w:right w:w="70" w:type="dxa"/>
        </w:tblCellMar>
        <w:tblLook w:val="04A0"/>
      </w:tblPr>
      <w:tblGrid>
        <w:gridCol w:w="360"/>
        <w:gridCol w:w="6286"/>
        <w:gridCol w:w="1103"/>
        <w:gridCol w:w="930"/>
        <w:gridCol w:w="783"/>
      </w:tblGrid>
      <w:tr w:rsidR="001211A6" w:rsidRPr="001211A6" w:rsidTr="0056641A">
        <w:trPr>
          <w:trHeight w:val="300"/>
        </w:trPr>
        <w:tc>
          <w:tcPr>
            <w:tcW w:w="360" w:type="dxa"/>
            <w:tcBorders>
              <w:top w:val="nil"/>
              <w:left w:val="nil"/>
              <w:bottom w:val="nil"/>
              <w:right w:val="nil"/>
            </w:tcBorders>
            <w:shd w:val="clear" w:color="auto" w:fill="auto"/>
            <w:noWrap/>
            <w:vAlign w:val="center"/>
            <w:hideMark/>
          </w:tcPr>
          <w:p w:rsidR="001211A6" w:rsidRPr="001211A6" w:rsidRDefault="001211A6" w:rsidP="001211A6">
            <w:pPr>
              <w:spacing w:after="0" w:line="240" w:lineRule="auto"/>
              <w:jc w:val="center"/>
              <w:rPr>
                <w:rFonts w:ascii="Arial" w:eastAsia="Times New Roman" w:hAnsi="Arial" w:cs="Arial"/>
                <w:sz w:val="16"/>
                <w:szCs w:val="16"/>
                <w:lang w:eastAsia="pl-PL"/>
              </w:rPr>
            </w:pPr>
          </w:p>
        </w:tc>
        <w:tc>
          <w:tcPr>
            <w:tcW w:w="9102" w:type="dxa"/>
            <w:gridSpan w:val="4"/>
            <w:tcBorders>
              <w:top w:val="nil"/>
              <w:left w:val="nil"/>
              <w:bottom w:val="nil"/>
              <w:right w:val="nil"/>
            </w:tcBorders>
            <w:shd w:val="clear" w:color="auto" w:fill="auto"/>
            <w:noWrap/>
            <w:vAlign w:val="bottom"/>
            <w:hideMark/>
          </w:tcPr>
          <w:p w:rsidR="001211A6" w:rsidRPr="001D1A34" w:rsidRDefault="00374F70" w:rsidP="001211A6">
            <w:pPr>
              <w:spacing w:after="0"/>
              <w:jc w:val="center"/>
              <w:rPr>
                <w:rFonts w:ascii="Times New Roman" w:hAnsi="Times New Roman" w:cs="Times New Roman"/>
                <w:b/>
                <w:color w:val="000000"/>
                <w:sz w:val="32"/>
                <w:szCs w:val="32"/>
              </w:rPr>
            </w:pPr>
            <w:r>
              <w:rPr>
                <w:rFonts w:ascii="Times New Roman" w:hAnsi="Times New Roman" w:cs="Times New Roman"/>
                <w:b/>
                <w:sz w:val="32"/>
                <w:szCs w:val="32"/>
                <w:highlight w:val="yellow"/>
              </w:rPr>
              <w:t>Zmodyfikowane w</w:t>
            </w:r>
            <w:r w:rsidR="001211A6" w:rsidRPr="0056641A">
              <w:rPr>
                <w:rFonts w:ascii="Times New Roman" w:hAnsi="Times New Roman" w:cs="Times New Roman"/>
                <w:b/>
                <w:sz w:val="32"/>
                <w:szCs w:val="32"/>
                <w:highlight w:val="yellow"/>
              </w:rPr>
              <w:t xml:space="preserve">ymagania dotyczące </w:t>
            </w:r>
            <w:r w:rsidR="001211A6" w:rsidRPr="0056641A">
              <w:rPr>
                <w:rFonts w:ascii="Times New Roman" w:hAnsi="Times New Roman" w:cs="Times New Roman"/>
                <w:b/>
                <w:color w:val="000000"/>
                <w:sz w:val="32"/>
                <w:szCs w:val="32"/>
                <w:highlight w:val="yellow"/>
              </w:rPr>
              <w:t>zadania nr 7</w:t>
            </w:r>
          </w:p>
          <w:p w:rsidR="001211A6" w:rsidRPr="001D1A34" w:rsidRDefault="001211A6" w:rsidP="001211A6">
            <w:pPr>
              <w:spacing w:after="0"/>
              <w:jc w:val="center"/>
              <w:rPr>
                <w:rFonts w:ascii="Times New Roman" w:hAnsi="Times New Roman" w:cs="Times New Roman"/>
                <w:sz w:val="24"/>
                <w:szCs w:val="24"/>
              </w:rPr>
            </w:pPr>
          </w:p>
          <w:p w:rsidR="001211A6" w:rsidRDefault="001211A6" w:rsidP="00432A64">
            <w:pPr>
              <w:shd w:val="clear" w:color="auto" w:fill="00B0F0"/>
              <w:spacing w:after="0" w:line="240" w:lineRule="auto"/>
              <w:jc w:val="center"/>
              <w:rPr>
                <w:rFonts w:ascii="Arial" w:eastAsia="Times New Roman" w:hAnsi="Arial" w:cs="Arial"/>
                <w:b/>
                <w:bCs/>
                <w:sz w:val="24"/>
                <w:szCs w:val="24"/>
                <w:lang w:eastAsia="pl-PL"/>
              </w:rPr>
            </w:pPr>
            <w:r w:rsidRPr="001211A6">
              <w:rPr>
                <w:rFonts w:ascii="Arial" w:eastAsia="Times New Roman" w:hAnsi="Arial" w:cs="Arial"/>
                <w:b/>
                <w:bCs/>
                <w:sz w:val="24"/>
                <w:szCs w:val="24"/>
                <w:lang w:eastAsia="pl-PL"/>
              </w:rPr>
              <w:t>PARAMETRY AUTOMATYCZNEGO APARATU DO IDENTYFIKACJI I OKREŚLANIA LEKOWRAŻLIWOŚCI DROBNOUSTROJÓW</w:t>
            </w:r>
          </w:p>
          <w:p w:rsidR="001211A6" w:rsidRPr="001211A6" w:rsidRDefault="001211A6" w:rsidP="001211A6">
            <w:pPr>
              <w:spacing w:after="0" w:line="240" w:lineRule="auto"/>
              <w:jc w:val="center"/>
              <w:rPr>
                <w:rFonts w:ascii="Arial" w:eastAsia="Times New Roman" w:hAnsi="Arial" w:cs="Arial"/>
                <w:b/>
                <w:bCs/>
                <w:sz w:val="24"/>
                <w:szCs w:val="24"/>
                <w:lang w:eastAsia="pl-PL"/>
              </w:rPr>
            </w:pPr>
          </w:p>
        </w:tc>
      </w:tr>
      <w:tr w:rsidR="001211A6" w:rsidRPr="001211A6" w:rsidTr="00432A64">
        <w:trPr>
          <w:trHeight w:val="915"/>
        </w:trPr>
        <w:tc>
          <w:tcPr>
            <w:tcW w:w="6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Parametry bezwzględnie wymagane</w:t>
            </w:r>
          </w:p>
        </w:tc>
        <w:tc>
          <w:tcPr>
            <w:tcW w:w="2816" w:type="dxa"/>
            <w:gridSpan w:val="3"/>
            <w:tcBorders>
              <w:top w:val="single" w:sz="4" w:space="0" w:color="auto"/>
              <w:left w:val="single" w:sz="4" w:space="0" w:color="auto"/>
              <w:bottom w:val="single" w:sz="4" w:space="0" w:color="auto"/>
              <w:right w:val="single" w:sz="4" w:space="0" w:color="000000"/>
            </w:tcBorders>
            <w:shd w:val="clear" w:color="auto" w:fill="FFFF00"/>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Opis spełnianie wymagania                                       - należy potwierdzić TAK</w:t>
            </w:r>
          </w:p>
        </w:tc>
      </w:tr>
      <w:tr w:rsidR="001211A6" w:rsidRPr="001211A6" w:rsidTr="00432A6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Automatyczny analizator bakteriologiczny, urządzenie fabrycznie nowe - rok produkcji  min. 2017 z oprogramowaniem do przetwarzania testów bakteriologicznych. Analizator nowy, nie </w:t>
            </w:r>
            <w:proofErr w:type="spellStart"/>
            <w:r w:rsidRPr="001211A6">
              <w:rPr>
                <w:rFonts w:ascii="Times New Roman" w:eastAsia="Times New Roman" w:hAnsi="Times New Roman" w:cs="Times New Roman"/>
                <w:color w:val="000000"/>
                <w:lang w:eastAsia="pl-PL"/>
              </w:rPr>
              <w:t>podemonstracyjny</w:t>
            </w:r>
            <w:proofErr w:type="spellEnd"/>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27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2</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Automatyczny system do oceny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musi posiadać możliwość połączenia bezpośredniego z systemem do  szybkiej identyfikacji metoda spektrometrii mass </w:t>
            </w:r>
            <w:r w:rsidRPr="001211A6">
              <w:rPr>
                <w:rFonts w:ascii="Times New Roman" w:eastAsia="Times New Roman" w:hAnsi="Times New Roman" w:cs="Times New Roman"/>
                <w:lang w:eastAsia="pl-PL"/>
              </w:rPr>
              <w:t xml:space="preserve">i aparatem do automatycznego odczytu </w:t>
            </w:r>
            <w:proofErr w:type="spellStart"/>
            <w:r w:rsidRPr="001211A6">
              <w:rPr>
                <w:rFonts w:ascii="Times New Roman" w:eastAsia="Times New Roman" w:hAnsi="Times New Roman" w:cs="Times New Roman"/>
                <w:lang w:eastAsia="pl-PL"/>
              </w:rPr>
              <w:t>lekowrażliwości</w:t>
            </w:r>
            <w:proofErr w:type="spellEnd"/>
            <w:r w:rsidRPr="001211A6">
              <w:rPr>
                <w:rFonts w:ascii="Times New Roman" w:eastAsia="Times New Roman" w:hAnsi="Times New Roman" w:cs="Times New Roman"/>
                <w:lang w:eastAsia="pl-PL"/>
              </w:rPr>
              <w:t xml:space="preserve"> metodą krążkową</w:t>
            </w:r>
            <w:r w:rsidRPr="001211A6">
              <w:rPr>
                <w:rFonts w:ascii="Times New Roman" w:eastAsia="Times New Roman" w:hAnsi="Times New Roman" w:cs="Times New Roman"/>
                <w:color w:val="FF0000"/>
                <w:lang w:eastAsia="pl-PL"/>
              </w:rPr>
              <w:t xml:space="preserve"> </w:t>
            </w:r>
            <w:r w:rsidRPr="001211A6">
              <w:rPr>
                <w:rFonts w:ascii="Times New Roman" w:eastAsia="Times New Roman" w:hAnsi="Times New Roman" w:cs="Times New Roman"/>
                <w:color w:val="000000"/>
                <w:lang w:eastAsia="pl-PL"/>
              </w:rPr>
              <w:t xml:space="preserve">za pomocą oprogramowania  które zapewni zgromadzenie </w:t>
            </w:r>
            <w:proofErr w:type="spellStart"/>
            <w:r w:rsidRPr="001211A6">
              <w:rPr>
                <w:rFonts w:ascii="Times New Roman" w:eastAsia="Times New Roman" w:hAnsi="Times New Roman" w:cs="Times New Roman"/>
                <w:color w:val="000000"/>
                <w:lang w:eastAsia="pl-PL"/>
              </w:rPr>
              <w:t>wszytskich</w:t>
            </w:r>
            <w:proofErr w:type="spellEnd"/>
            <w:r w:rsidRPr="001211A6">
              <w:rPr>
                <w:rFonts w:ascii="Times New Roman" w:eastAsia="Times New Roman" w:hAnsi="Times New Roman" w:cs="Times New Roman"/>
                <w:color w:val="000000"/>
                <w:lang w:eastAsia="pl-PL"/>
              </w:rPr>
              <w:t xml:space="preserve"> danych w jednym miejscu i umożliwi podgląd wyników z oferowanych analizatorów .(wynik na jednym ekranie ) oraz możliwość podglądu płytki identyfikacyjnej . Oprogramowanie musi łączyć się z oprogramowaniem LIS, wraz z komputerem o odpowiedniej mocy obliczeniowej.</w:t>
            </w:r>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3</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Automatyczne przetwarzanie paneli do oceny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w:t>
            </w:r>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4</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Pojemność: komory inkubacyjno – pomiarowej  min.  40 testów inkubowanych  jednoczasowo</w:t>
            </w:r>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5</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System identyfikacji badań poprzez kody kreskowe zawierające informację  o  rodzaju  testu oraz danych pacjenta  (testy  wyposażone  w  kody  kreskowe lub drukarka kodów kreskowych dla testów w zestawie).</w:t>
            </w:r>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6</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W zestawie komputer zewnętrzny z drukarką do wydruku raportów i wyników badań oraz UPS </w:t>
            </w:r>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7</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Inokulacja  paneli  testowych próżniowo w  analizatorze lub jednorazowo do wszystkich studzienek reakcyjnych  za pomocą urządzenia do napełniania paneli.</w:t>
            </w:r>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28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8</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System pozwalający na ocenę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drobnoustrojów Gram ujemnych, Gram dodatnich oraz  </w:t>
            </w:r>
            <w:proofErr w:type="spellStart"/>
            <w:r w:rsidRPr="001211A6">
              <w:rPr>
                <w:rFonts w:ascii="Times New Roman" w:eastAsia="Times New Roman" w:hAnsi="Times New Roman" w:cs="Times New Roman"/>
                <w:color w:val="000000"/>
                <w:lang w:eastAsia="pl-PL"/>
              </w:rPr>
              <w:t>Streptococców</w:t>
            </w:r>
            <w:proofErr w:type="spellEnd"/>
            <w:r w:rsidRPr="001211A6">
              <w:rPr>
                <w:rFonts w:ascii="Times New Roman" w:eastAsia="Times New Roman" w:hAnsi="Times New Roman" w:cs="Times New Roman"/>
                <w:color w:val="000000"/>
                <w:lang w:eastAsia="pl-PL"/>
              </w:rPr>
              <w:t xml:space="preserve">  (czas oceny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16-24 godziny z  szerokim antybiogramem  opartym o min. 90 studzienek testowych)</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9</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Panele do szybkiej ( 2- 2.5 h) identyfikacji </w:t>
            </w:r>
            <w:proofErr w:type="spellStart"/>
            <w:r w:rsidRPr="001211A6">
              <w:rPr>
                <w:rFonts w:ascii="Times New Roman" w:eastAsia="Times New Roman" w:hAnsi="Times New Roman" w:cs="Times New Roman"/>
                <w:color w:val="000000"/>
                <w:lang w:eastAsia="pl-PL"/>
              </w:rPr>
              <w:t>bezodczynnikowej</w:t>
            </w:r>
            <w:proofErr w:type="spellEnd"/>
            <w:r w:rsidRPr="001211A6">
              <w:rPr>
                <w:rFonts w:ascii="Times New Roman" w:eastAsia="Times New Roman" w:hAnsi="Times New Roman" w:cs="Times New Roman"/>
                <w:color w:val="000000"/>
                <w:lang w:eastAsia="pl-PL"/>
              </w:rPr>
              <w:t xml:space="preserve"> </w:t>
            </w:r>
            <w:proofErr w:type="spellStart"/>
            <w:r w:rsidRPr="001211A6">
              <w:rPr>
                <w:rFonts w:ascii="Times New Roman" w:eastAsia="Times New Roman" w:hAnsi="Times New Roman" w:cs="Times New Roman"/>
                <w:color w:val="000000"/>
                <w:lang w:eastAsia="pl-PL"/>
              </w:rPr>
              <w:t>dorobnoustrojów</w:t>
            </w:r>
            <w:proofErr w:type="spellEnd"/>
            <w:r w:rsidRPr="001211A6">
              <w:rPr>
                <w:rFonts w:ascii="Times New Roman" w:eastAsia="Times New Roman" w:hAnsi="Times New Roman" w:cs="Times New Roman"/>
                <w:color w:val="000000"/>
                <w:lang w:eastAsia="pl-PL"/>
              </w:rPr>
              <w:t xml:space="preserve"> Gram dodatnich, Gram ujemnych metodą </w:t>
            </w:r>
            <w:proofErr w:type="spellStart"/>
            <w:r w:rsidRPr="001211A6">
              <w:rPr>
                <w:rFonts w:ascii="Times New Roman" w:eastAsia="Times New Roman" w:hAnsi="Times New Roman" w:cs="Times New Roman"/>
                <w:color w:val="000000"/>
                <w:lang w:eastAsia="pl-PL"/>
              </w:rPr>
              <w:t>Fluorometryczną</w:t>
            </w:r>
            <w:proofErr w:type="spellEnd"/>
          </w:p>
        </w:tc>
        <w:tc>
          <w:tcPr>
            <w:tcW w:w="2816" w:type="dxa"/>
            <w:gridSpan w:val="3"/>
            <w:tcBorders>
              <w:top w:val="single" w:sz="4" w:space="0" w:color="auto"/>
              <w:left w:val="nil"/>
              <w:bottom w:val="single" w:sz="4" w:space="0" w:color="auto"/>
              <w:right w:val="single" w:sz="4" w:space="0" w:color="auto"/>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221"/>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lastRenderedPageBreak/>
              <w:t>10</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Automatyczny system do oceny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drobnoustrojów w oparciu o metodę referencyjną -</w:t>
            </w:r>
            <w:proofErr w:type="spellStart"/>
            <w:r w:rsidRPr="001211A6">
              <w:rPr>
                <w:rFonts w:ascii="Times New Roman" w:eastAsia="Times New Roman" w:hAnsi="Times New Roman" w:cs="Times New Roman"/>
                <w:color w:val="000000"/>
                <w:lang w:eastAsia="pl-PL"/>
              </w:rPr>
              <w:t>mikrozcieńczenie</w:t>
            </w:r>
            <w:proofErr w:type="spellEnd"/>
            <w:r w:rsidRPr="001211A6">
              <w:rPr>
                <w:rFonts w:ascii="Times New Roman" w:eastAsia="Times New Roman" w:hAnsi="Times New Roman" w:cs="Times New Roman"/>
                <w:color w:val="000000"/>
                <w:lang w:eastAsia="pl-PL"/>
              </w:rPr>
              <w:t xml:space="preserve"> w bulionie wraz z zapewnieniem wyniku w postaci wartości minimalnego stężenia hamującego (MIC).</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69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11</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Możliwość wykonania na analizatorze testów  identyfikacyjnych  w kierunku drobnoustrojów Gram ujemnych, Gram dodatnich ( 16-24 godziny), szybkie  4  godzinne panele  specjalistyczne  do identyfikacji drobnoustrojów z rodzaju </w:t>
            </w:r>
            <w:proofErr w:type="spellStart"/>
            <w:r w:rsidRPr="001211A6">
              <w:rPr>
                <w:rFonts w:ascii="Times New Roman" w:eastAsia="Times New Roman" w:hAnsi="Times New Roman" w:cs="Times New Roman"/>
                <w:color w:val="000000"/>
                <w:lang w:eastAsia="pl-PL"/>
              </w:rPr>
              <w:t>Neisseria</w:t>
            </w:r>
            <w:proofErr w:type="spellEnd"/>
            <w:r w:rsidRPr="001211A6">
              <w:rPr>
                <w:rFonts w:ascii="Times New Roman" w:eastAsia="Times New Roman" w:hAnsi="Times New Roman" w:cs="Times New Roman"/>
                <w:color w:val="000000"/>
                <w:lang w:eastAsia="pl-PL"/>
              </w:rPr>
              <w:t>/</w:t>
            </w:r>
            <w:proofErr w:type="spellStart"/>
            <w:r w:rsidRPr="001211A6">
              <w:rPr>
                <w:rFonts w:ascii="Times New Roman" w:eastAsia="Times New Roman" w:hAnsi="Times New Roman" w:cs="Times New Roman"/>
                <w:color w:val="000000"/>
                <w:lang w:eastAsia="pl-PL"/>
              </w:rPr>
              <w:t>Haemophilus</w:t>
            </w:r>
            <w:proofErr w:type="spellEnd"/>
            <w:r w:rsidRPr="001211A6">
              <w:rPr>
                <w:rFonts w:ascii="Times New Roman" w:eastAsia="Times New Roman" w:hAnsi="Times New Roman" w:cs="Times New Roman"/>
                <w:color w:val="000000"/>
                <w:lang w:eastAsia="pl-PL"/>
              </w:rPr>
              <w:t xml:space="preserve">, grzybów oraz  beztlenowców </w:t>
            </w:r>
            <w:r w:rsidRPr="001211A6">
              <w:rPr>
                <w:rFonts w:ascii="Times New Roman" w:eastAsia="Times New Roman" w:hAnsi="Times New Roman" w:cs="Times New Roman"/>
                <w:lang w:eastAsia="pl-PL"/>
              </w:rPr>
              <w:t>(z możliwością odczytu wizualnego dla tych bakterii )</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12</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Możliwość doboru testów o różnym składzie antybiotykowym w zależności od potrzeb laboratorium oraz różnymi zakresami stężeń.</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13</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System generujący w tym samym czasie wyniki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niezależnie od wyników ID </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79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14</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Dostępne  panele do oceny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drobnoustrojów z określeniem wyników MIC poprzez rozcieńczenie w </w:t>
            </w:r>
            <w:proofErr w:type="spellStart"/>
            <w:r w:rsidRPr="001211A6">
              <w:rPr>
                <w:rFonts w:ascii="Times New Roman" w:eastAsia="Times New Roman" w:hAnsi="Times New Roman" w:cs="Times New Roman"/>
                <w:color w:val="000000"/>
                <w:lang w:eastAsia="pl-PL"/>
              </w:rPr>
              <w:t>bulione</w:t>
            </w:r>
            <w:proofErr w:type="spellEnd"/>
            <w:r w:rsidRPr="001211A6">
              <w:rPr>
                <w:rFonts w:ascii="Times New Roman" w:eastAsia="Times New Roman" w:hAnsi="Times New Roman" w:cs="Times New Roman"/>
                <w:color w:val="000000"/>
                <w:lang w:eastAsia="pl-PL"/>
              </w:rPr>
              <w:t xml:space="preserve"> (MBD)  wraz  z  szerokim zestawem leków  oraz  ich stężeń w ciągu geometrycznym (bez omijania stężeń pośrednich) zgodnie z rekomendacjami EUCAST - testy oparte o min. 90  studzienek testowych.</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15</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Możliwość  wykrycia  mechanizmów  oporności:  MRSA, MRSE, VISA, GISA, VRE, VRSA, HLAR, ESBL oraz informacja z systemu eksperckiego o możliwości wystąpienia oporności na </w:t>
            </w:r>
            <w:proofErr w:type="spellStart"/>
            <w:r w:rsidRPr="001211A6">
              <w:rPr>
                <w:rFonts w:ascii="Times New Roman" w:eastAsia="Times New Roman" w:hAnsi="Times New Roman" w:cs="Times New Roman"/>
                <w:color w:val="000000"/>
                <w:lang w:eastAsia="pl-PL"/>
              </w:rPr>
              <w:t>karbapenemy</w:t>
            </w:r>
            <w:proofErr w:type="spellEnd"/>
            <w:r w:rsidRPr="001211A6">
              <w:rPr>
                <w:rFonts w:ascii="Times New Roman" w:eastAsia="Times New Roman" w:hAnsi="Times New Roman" w:cs="Times New Roman"/>
                <w:color w:val="000000"/>
                <w:lang w:eastAsia="pl-PL"/>
              </w:rPr>
              <w:t xml:space="preserve"> (</w:t>
            </w:r>
            <w:proofErr w:type="spellStart"/>
            <w:r w:rsidRPr="001211A6">
              <w:rPr>
                <w:rFonts w:ascii="Times New Roman" w:eastAsia="Times New Roman" w:hAnsi="Times New Roman" w:cs="Times New Roman"/>
                <w:color w:val="000000"/>
                <w:lang w:eastAsia="pl-PL"/>
              </w:rPr>
              <w:t>KPC,MBL</w:t>
            </w:r>
            <w:proofErr w:type="spellEnd"/>
            <w:r w:rsidRPr="001211A6">
              <w:rPr>
                <w:rFonts w:ascii="Times New Roman" w:eastAsia="Times New Roman" w:hAnsi="Times New Roman" w:cs="Times New Roman"/>
                <w:color w:val="000000"/>
                <w:lang w:eastAsia="pl-PL"/>
              </w:rPr>
              <w:t xml:space="preserve">) </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174"/>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16</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Dostępne dodatkowe panele do potwierdzenia mechanizmu </w:t>
            </w:r>
            <w:proofErr w:type="spellStart"/>
            <w:r w:rsidRPr="001211A6">
              <w:rPr>
                <w:rFonts w:ascii="Times New Roman" w:eastAsia="Times New Roman" w:hAnsi="Times New Roman" w:cs="Times New Roman"/>
                <w:color w:val="000000"/>
                <w:lang w:eastAsia="pl-PL"/>
              </w:rPr>
              <w:t>opornosci</w:t>
            </w:r>
            <w:proofErr w:type="spellEnd"/>
            <w:r w:rsidRPr="001211A6">
              <w:rPr>
                <w:rFonts w:ascii="Times New Roman" w:eastAsia="Times New Roman" w:hAnsi="Times New Roman" w:cs="Times New Roman"/>
                <w:color w:val="000000"/>
                <w:lang w:eastAsia="pl-PL"/>
              </w:rPr>
              <w:t xml:space="preserve"> typu ESBL oraz </w:t>
            </w:r>
            <w:proofErr w:type="spellStart"/>
            <w:r w:rsidRPr="001211A6">
              <w:rPr>
                <w:rFonts w:ascii="Times New Roman" w:eastAsia="Times New Roman" w:hAnsi="Times New Roman" w:cs="Times New Roman"/>
                <w:color w:val="000000"/>
                <w:lang w:eastAsia="pl-PL"/>
              </w:rPr>
              <w:t>mozliwość</w:t>
            </w:r>
            <w:proofErr w:type="spellEnd"/>
            <w:r w:rsidRPr="001211A6">
              <w:rPr>
                <w:rFonts w:ascii="Times New Roman" w:eastAsia="Times New Roman" w:hAnsi="Times New Roman" w:cs="Times New Roman"/>
                <w:color w:val="000000"/>
                <w:lang w:eastAsia="pl-PL"/>
              </w:rPr>
              <w:t xml:space="preserve"> wykrycia ESBL na każdym panelu do oznaczania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dla wszystkich Gram ujemnych pałeczek </w:t>
            </w:r>
            <w:proofErr w:type="spellStart"/>
            <w:r w:rsidRPr="001211A6">
              <w:rPr>
                <w:rFonts w:ascii="Times New Roman" w:eastAsia="Times New Roman" w:hAnsi="Times New Roman" w:cs="Times New Roman"/>
                <w:color w:val="000000"/>
                <w:lang w:eastAsia="pl-PL"/>
              </w:rPr>
              <w:t>Enterobacteriaceae</w:t>
            </w:r>
            <w:proofErr w:type="spellEnd"/>
            <w:r w:rsidRPr="001211A6">
              <w:rPr>
                <w:rFonts w:ascii="Times New Roman" w:eastAsia="Times New Roman" w:hAnsi="Times New Roman" w:cs="Times New Roman"/>
                <w:color w:val="000000"/>
                <w:lang w:eastAsia="pl-PL"/>
              </w:rPr>
              <w:t xml:space="preserve"> w badaniach rutynowych.</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567"/>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17</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System generujący bezpośrednio wyniki </w:t>
            </w:r>
            <w:proofErr w:type="spellStart"/>
            <w:r w:rsidRPr="001211A6">
              <w:rPr>
                <w:rFonts w:ascii="Times New Roman" w:eastAsia="Times New Roman" w:hAnsi="Times New Roman" w:cs="Times New Roman"/>
                <w:color w:val="000000"/>
                <w:lang w:eastAsia="pl-PL"/>
              </w:rPr>
              <w:t>lekowrażliwości</w:t>
            </w:r>
            <w:proofErr w:type="spellEnd"/>
            <w:r w:rsidRPr="001211A6">
              <w:rPr>
                <w:rFonts w:ascii="Times New Roman" w:eastAsia="Times New Roman" w:hAnsi="Times New Roman" w:cs="Times New Roman"/>
                <w:color w:val="000000"/>
                <w:lang w:eastAsia="pl-PL"/>
              </w:rPr>
              <w:t xml:space="preserve"> niezależnie od wyników ID.</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1554"/>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18</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Oprogramowanie z systemem ostrzegania zgodnym z zasadami  EUCAST 2017 zawierające wprowadzony zestaw ostrzeżeń i  komentarzy z możliwością dopisywania własnych reguł laboratorium oraz zapewniający możliwość wyeksportowania raportów epidemiologicznych </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19</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Bezpłatna  aktualizacja   nowych wersji oprogramowania z modyfikacjami zgodnie do  wymogów EUCAST w trakcie trwania umowy.</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7E00CE" w:rsidRDefault="001211A6" w:rsidP="001211A6">
            <w:pPr>
              <w:spacing w:after="0" w:line="240" w:lineRule="auto"/>
              <w:jc w:val="center"/>
              <w:rPr>
                <w:rFonts w:ascii="Times New Roman" w:eastAsia="Times New Roman" w:hAnsi="Times New Roman" w:cs="Times New Roman"/>
                <w:strike/>
                <w:lang w:eastAsia="pl-PL"/>
              </w:rPr>
            </w:pPr>
            <w:r w:rsidRPr="007E00CE">
              <w:rPr>
                <w:rFonts w:ascii="Times New Roman" w:eastAsia="Times New Roman" w:hAnsi="Times New Roman" w:cs="Times New Roman"/>
                <w:strike/>
                <w:lang w:eastAsia="pl-PL"/>
              </w:rPr>
              <w:t>20</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7E00CE" w:rsidP="001211A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WYKREŚLONY</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7E00CE" w:rsidP="001211A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WYKREŚLONY</w:t>
            </w:r>
            <w:r w:rsidR="001211A6" w:rsidRPr="001211A6">
              <w:rPr>
                <w:rFonts w:ascii="Times New Roman" w:eastAsia="Times New Roman" w:hAnsi="Times New Roman" w:cs="Times New Roman"/>
                <w:lang w:eastAsia="pl-PL"/>
              </w:rPr>
              <w:t> </w:t>
            </w:r>
          </w:p>
        </w:tc>
      </w:tr>
      <w:tr w:rsidR="001211A6" w:rsidRPr="001211A6" w:rsidTr="00432A64">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21</w:t>
            </w:r>
          </w:p>
        </w:tc>
        <w:tc>
          <w:tcPr>
            <w:tcW w:w="6286" w:type="dxa"/>
            <w:tcBorders>
              <w:top w:val="nil"/>
              <w:left w:val="nil"/>
              <w:bottom w:val="single" w:sz="4" w:space="0" w:color="auto"/>
              <w:right w:val="single" w:sz="4" w:space="0" w:color="auto"/>
            </w:tcBorders>
            <w:shd w:val="clear" w:color="auto" w:fill="auto"/>
            <w:vAlign w:val="center"/>
            <w:hideMark/>
          </w:tcPr>
          <w:p w:rsidR="001211A6" w:rsidRPr="001211A6" w:rsidRDefault="001211A6" w:rsidP="001211A6">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Panele przechowywane w temperaturze pokojowej </w:t>
            </w:r>
          </w:p>
        </w:tc>
        <w:tc>
          <w:tcPr>
            <w:tcW w:w="2816"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1211A6" w:rsidRPr="001211A6" w:rsidTr="00432A64">
        <w:trPr>
          <w:trHeight w:val="240"/>
        </w:trPr>
        <w:tc>
          <w:tcPr>
            <w:tcW w:w="360" w:type="dxa"/>
            <w:tcBorders>
              <w:top w:val="nil"/>
              <w:left w:val="nil"/>
              <w:bottom w:val="nil"/>
              <w:right w:val="nil"/>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p>
        </w:tc>
        <w:tc>
          <w:tcPr>
            <w:tcW w:w="6286" w:type="dxa"/>
            <w:tcBorders>
              <w:top w:val="nil"/>
              <w:left w:val="nil"/>
              <w:bottom w:val="nil"/>
              <w:right w:val="nil"/>
            </w:tcBorders>
            <w:shd w:val="clear" w:color="auto" w:fill="FFFFFF" w:themeFill="background1"/>
            <w:vAlign w:val="center"/>
            <w:hideMark/>
          </w:tcPr>
          <w:p w:rsidR="00432A64" w:rsidRPr="001211A6" w:rsidRDefault="00432A64" w:rsidP="001211A6">
            <w:pPr>
              <w:spacing w:after="0" w:line="240" w:lineRule="auto"/>
              <w:rPr>
                <w:rFonts w:ascii="Times New Roman" w:eastAsia="Times New Roman" w:hAnsi="Times New Roman" w:cs="Times New Roman"/>
                <w:color w:val="000000"/>
                <w:lang w:eastAsia="pl-PL"/>
              </w:rPr>
            </w:pPr>
          </w:p>
        </w:tc>
        <w:tc>
          <w:tcPr>
            <w:tcW w:w="1103" w:type="dxa"/>
            <w:tcBorders>
              <w:top w:val="nil"/>
              <w:left w:val="nil"/>
              <w:bottom w:val="nil"/>
              <w:right w:val="nil"/>
            </w:tcBorders>
            <w:shd w:val="clear" w:color="auto" w:fill="FFFFFF" w:themeFill="background1"/>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p>
        </w:tc>
        <w:tc>
          <w:tcPr>
            <w:tcW w:w="930" w:type="dxa"/>
            <w:tcBorders>
              <w:top w:val="nil"/>
              <w:left w:val="nil"/>
              <w:bottom w:val="nil"/>
              <w:right w:val="nil"/>
            </w:tcBorders>
            <w:shd w:val="clear" w:color="auto" w:fill="FFFFFF" w:themeFill="background1"/>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p>
        </w:tc>
        <w:tc>
          <w:tcPr>
            <w:tcW w:w="783" w:type="dxa"/>
            <w:tcBorders>
              <w:top w:val="nil"/>
              <w:left w:val="nil"/>
              <w:bottom w:val="nil"/>
              <w:right w:val="nil"/>
            </w:tcBorders>
            <w:shd w:val="clear" w:color="auto" w:fill="FFFFFF" w:themeFill="background1"/>
            <w:noWrap/>
            <w:vAlign w:val="bottom"/>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p>
        </w:tc>
      </w:tr>
      <w:tr w:rsidR="001211A6" w:rsidRPr="001211A6" w:rsidTr="00432A64">
        <w:trPr>
          <w:trHeight w:val="225"/>
        </w:trPr>
        <w:tc>
          <w:tcPr>
            <w:tcW w:w="360" w:type="dxa"/>
            <w:tcBorders>
              <w:top w:val="nil"/>
              <w:left w:val="nil"/>
              <w:bottom w:val="nil"/>
              <w:right w:val="nil"/>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p>
        </w:tc>
        <w:tc>
          <w:tcPr>
            <w:tcW w:w="6286" w:type="dxa"/>
            <w:tcBorders>
              <w:top w:val="nil"/>
              <w:left w:val="nil"/>
              <w:bottom w:val="nil"/>
              <w:right w:val="nil"/>
            </w:tcBorders>
            <w:shd w:val="clear" w:color="auto" w:fill="FFFFFF" w:themeFill="background1"/>
            <w:vAlign w:val="bottom"/>
            <w:hideMark/>
          </w:tcPr>
          <w:p w:rsidR="001211A6" w:rsidRDefault="001211A6" w:rsidP="001211A6">
            <w:pPr>
              <w:spacing w:after="0" w:line="240" w:lineRule="auto"/>
              <w:rPr>
                <w:rFonts w:ascii="Times New Roman" w:eastAsia="Times New Roman" w:hAnsi="Times New Roman" w:cs="Times New Roman"/>
                <w:lang w:eastAsia="pl-PL"/>
              </w:rPr>
            </w:pPr>
          </w:p>
          <w:p w:rsidR="00432A64" w:rsidRPr="001211A6" w:rsidRDefault="00432A64" w:rsidP="001211A6">
            <w:pPr>
              <w:spacing w:after="0" w:line="240" w:lineRule="auto"/>
              <w:rPr>
                <w:rFonts w:ascii="Times New Roman" w:eastAsia="Times New Roman" w:hAnsi="Times New Roman" w:cs="Times New Roman"/>
                <w:lang w:eastAsia="pl-PL"/>
              </w:rPr>
            </w:pPr>
          </w:p>
        </w:tc>
        <w:tc>
          <w:tcPr>
            <w:tcW w:w="1103" w:type="dxa"/>
            <w:tcBorders>
              <w:top w:val="nil"/>
              <w:left w:val="nil"/>
              <w:bottom w:val="nil"/>
              <w:right w:val="nil"/>
            </w:tcBorders>
            <w:shd w:val="clear" w:color="auto" w:fill="FFFFFF" w:themeFill="background1"/>
            <w:noWrap/>
            <w:vAlign w:val="bottom"/>
            <w:hideMark/>
          </w:tcPr>
          <w:p w:rsidR="001211A6" w:rsidRPr="001211A6" w:rsidRDefault="001211A6" w:rsidP="001211A6">
            <w:pPr>
              <w:spacing w:after="0" w:line="240" w:lineRule="auto"/>
              <w:rPr>
                <w:rFonts w:ascii="Times New Roman" w:eastAsia="Times New Roman" w:hAnsi="Times New Roman" w:cs="Times New Roman"/>
                <w:lang w:eastAsia="pl-PL"/>
              </w:rPr>
            </w:pPr>
          </w:p>
        </w:tc>
        <w:tc>
          <w:tcPr>
            <w:tcW w:w="930" w:type="dxa"/>
            <w:tcBorders>
              <w:top w:val="nil"/>
              <w:left w:val="nil"/>
              <w:bottom w:val="nil"/>
              <w:right w:val="nil"/>
            </w:tcBorders>
            <w:shd w:val="clear" w:color="auto" w:fill="FFFFFF" w:themeFill="background1"/>
            <w:noWrap/>
            <w:vAlign w:val="bottom"/>
            <w:hideMark/>
          </w:tcPr>
          <w:p w:rsidR="001211A6" w:rsidRPr="001211A6" w:rsidRDefault="001211A6" w:rsidP="001211A6">
            <w:pPr>
              <w:spacing w:after="0" w:line="240" w:lineRule="auto"/>
              <w:rPr>
                <w:rFonts w:ascii="Times New Roman" w:eastAsia="Times New Roman" w:hAnsi="Times New Roman" w:cs="Times New Roman"/>
                <w:lang w:eastAsia="pl-PL"/>
              </w:rPr>
            </w:pPr>
          </w:p>
        </w:tc>
        <w:tc>
          <w:tcPr>
            <w:tcW w:w="783" w:type="dxa"/>
            <w:tcBorders>
              <w:top w:val="nil"/>
              <w:left w:val="nil"/>
              <w:bottom w:val="nil"/>
              <w:right w:val="nil"/>
            </w:tcBorders>
            <w:shd w:val="clear" w:color="auto" w:fill="FFFFFF" w:themeFill="background1"/>
            <w:noWrap/>
            <w:vAlign w:val="bottom"/>
            <w:hideMark/>
          </w:tcPr>
          <w:p w:rsidR="001211A6" w:rsidRPr="001211A6" w:rsidRDefault="001211A6" w:rsidP="001211A6">
            <w:pPr>
              <w:spacing w:after="0" w:line="240" w:lineRule="auto"/>
              <w:rPr>
                <w:rFonts w:ascii="Times New Roman" w:eastAsia="Times New Roman" w:hAnsi="Times New Roman" w:cs="Times New Roman"/>
                <w:lang w:eastAsia="pl-PL"/>
              </w:rPr>
            </w:pPr>
          </w:p>
        </w:tc>
      </w:tr>
      <w:tr w:rsidR="001211A6" w:rsidRPr="001211A6" w:rsidTr="00432A64">
        <w:trPr>
          <w:trHeight w:val="225"/>
        </w:trPr>
        <w:tc>
          <w:tcPr>
            <w:tcW w:w="360" w:type="dxa"/>
            <w:tcBorders>
              <w:top w:val="nil"/>
              <w:left w:val="nil"/>
              <w:bottom w:val="nil"/>
              <w:right w:val="nil"/>
            </w:tcBorders>
            <w:shd w:val="clear" w:color="auto" w:fill="auto"/>
            <w:noWrap/>
            <w:vAlign w:val="center"/>
            <w:hideMark/>
          </w:tcPr>
          <w:p w:rsidR="001211A6" w:rsidRPr="001211A6" w:rsidRDefault="001211A6" w:rsidP="001211A6">
            <w:pPr>
              <w:spacing w:after="0" w:line="240" w:lineRule="auto"/>
              <w:jc w:val="center"/>
              <w:rPr>
                <w:rFonts w:ascii="Times New Roman" w:eastAsia="Times New Roman" w:hAnsi="Times New Roman" w:cs="Times New Roman"/>
                <w:lang w:eastAsia="pl-PL"/>
              </w:rPr>
            </w:pPr>
          </w:p>
        </w:tc>
        <w:tc>
          <w:tcPr>
            <w:tcW w:w="9102" w:type="dxa"/>
            <w:gridSpan w:val="4"/>
            <w:tcBorders>
              <w:top w:val="nil"/>
              <w:left w:val="nil"/>
              <w:bottom w:val="nil"/>
              <w:right w:val="nil"/>
            </w:tcBorders>
            <w:shd w:val="clear" w:color="auto" w:fill="00B0F0"/>
            <w:noWrap/>
            <w:vAlign w:val="bottom"/>
            <w:hideMark/>
          </w:tcPr>
          <w:p w:rsidR="00432A64" w:rsidRDefault="00432A64" w:rsidP="00432A64">
            <w:pPr>
              <w:spacing w:after="0" w:line="240" w:lineRule="auto"/>
              <w:jc w:val="center"/>
              <w:rPr>
                <w:rFonts w:ascii="Times New Roman" w:eastAsia="Times New Roman" w:hAnsi="Times New Roman" w:cs="Times New Roman"/>
                <w:b/>
                <w:bCs/>
                <w:lang w:eastAsia="pl-PL"/>
              </w:rPr>
            </w:pPr>
          </w:p>
          <w:p w:rsidR="00432A64" w:rsidRDefault="001211A6" w:rsidP="00432A64">
            <w:pPr>
              <w:spacing w:after="0" w:line="240" w:lineRule="auto"/>
              <w:jc w:val="center"/>
              <w:rPr>
                <w:rFonts w:ascii="Times New Roman" w:eastAsia="Times New Roman" w:hAnsi="Times New Roman" w:cs="Times New Roman"/>
                <w:b/>
                <w:bCs/>
                <w:lang w:eastAsia="pl-PL"/>
              </w:rPr>
            </w:pPr>
            <w:r w:rsidRPr="001211A6">
              <w:rPr>
                <w:rFonts w:ascii="Times New Roman" w:eastAsia="Times New Roman" w:hAnsi="Times New Roman" w:cs="Times New Roman"/>
                <w:b/>
                <w:bCs/>
                <w:lang w:eastAsia="pl-PL"/>
              </w:rPr>
              <w:t xml:space="preserve">PARAMETRY ANALIZATORA DO IDENTYFIKACJI BAKTERII I GRZYBÓW </w:t>
            </w:r>
          </w:p>
          <w:p w:rsidR="001211A6" w:rsidRDefault="001211A6" w:rsidP="00432A64">
            <w:pPr>
              <w:spacing w:after="0" w:line="240" w:lineRule="auto"/>
              <w:jc w:val="center"/>
              <w:rPr>
                <w:rFonts w:ascii="Times New Roman" w:eastAsia="Times New Roman" w:hAnsi="Times New Roman" w:cs="Times New Roman"/>
                <w:b/>
                <w:bCs/>
                <w:lang w:eastAsia="pl-PL"/>
              </w:rPr>
            </w:pPr>
            <w:r w:rsidRPr="001211A6">
              <w:rPr>
                <w:rFonts w:ascii="Times New Roman" w:eastAsia="Times New Roman" w:hAnsi="Times New Roman" w:cs="Times New Roman"/>
                <w:b/>
                <w:bCs/>
                <w:lang w:eastAsia="pl-PL"/>
              </w:rPr>
              <w:t>OPARTEGO NA METODZIE SPEKTOMETRII MAS</w:t>
            </w:r>
          </w:p>
          <w:p w:rsidR="0056641A" w:rsidRPr="001211A6" w:rsidRDefault="0056641A" w:rsidP="001211A6">
            <w:pPr>
              <w:spacing w:after="0" w:line="240" w:lineRule="auto"/>
              <w:rPr>
                <w:rFonts w:ascii="Times New Roman" w:eastAsia="Times New Roman" w:hAnsi="Times New Roman" w:cs="Times New Roman"/>
                <w:b/>
                <w:bCs/>
                <w:lang w:eastAsia="pl-PL"/>
              </w:rPr>
            </w:pPr>
          </w:p>
        </w:tc>
      </w:tr>
    </w:tbl>
    <w:p w:rsidR="001211A6" w:rsidRDefault="001211A6" w:rsidP="009A2CD6"/>
    <w:tbl>
      <w:tblPr>
        <w:tblW w:w="9462" w:type="dxa"/>
        <w:tblInd w:w="55" w:type="dxa"/>
        <w:tblCellMar>
          <w:left w:w="70" w:type="dxa"/>
          <w:right w:w="70" w:type="dxa"/>
        </w:tblCellMar>
        <w:tblLook w:val="04A0"/>
      </w:tblPr>
      <w:tblGrid>
        <w:gridCol w:w="360"/>
        <w:gridCol w:w="6286"/>
        <w:gridCol w:w="2816"/>
      </w:tblGrid>
      <w:tr w:rsidR="00432A64" w:rsidRPr="001211A6" w:rsidTr="000B4F83">
        <w:trPr>
          <w:trHeight w:val="630"/>
        </w:trPr>
        <w:tc>
          <w:tcPr>
            <w:tcW w:w="6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Parametry bezwzględnie wymagane</w:t>
            </w:r>
          </w:p>
        </w:tc>
        <w:tc>
          <w:tcPr>
            <w:tcW w:w="2816" w:type="dxa"/>
            <w:tcBorders>
              <w:top w:val="single" w:sz="4" w:space="0" w:color="auto"/>
              <w:left w:val="single" w:sz="4" w:space="0" w:color="auto"/>
              <w:bottom w:val="single" w:sz="4" w:space="0" w:color="auto"/>
              <w:right w:val="single" w:sz="4" w:space="0" w:color="000000"/>
            </w:tcBorders>
            <w:shd w:val="clear" w:color="auto" w:fill="FFFF00"/>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Opis spełnianie wymagania                                       - należy potwierdzić TAK</w:t>
            </w:r>
          </w:p>
        </w:tc>
      </w:tr>
      <w:tr w:rsidR="00432A64" w:rsidRPr="001211A6" w:rsidTr="000B4F83">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Automatyczny  analizator  (</w:t>
            </w:r>
            <w:proofErr w:type="spellStart"/>
            <w:r w:rsidRPr="001211A6">
              <w:rPr>
                <w:rFonts w:ascii="Times New Roman" w:eastAsia="Times New Roman" w:hAnsi="Times New Roman" w:cs="Times New Roman"/>
                <w:color w:val="000000"/>
                <w:lang w:eastAsia="pl-PL"/>
              </w:rPr>
              <w:t>CE-IVD</w:t>
            </w:r>
            <w:proofErr w:type="spellEnd"/>
            <w:r w:rsidRPr="001211A6">
              <w:rPr>
                <w:rFonts w:ascii="Times New Roman" w:eastAsia="Times New Roman" w:hAnsi="Times New Roman" w:cs="Times New Roman"/>
                <w:color w:val="000000"/>
                <w:lang w:eastAsia="pl-PL"/>
              </w:rPr>
              <w:t>)  do identyfikacji drobnoustrojów  pracujący  w technologii  spektrometrii mas (</w:t>
            </w:r>
            <w:proofErr w:type="spellStart"/>
            <w:r w:rsidRPr="001211A6">
              <w:rPr>
                <w:rFonts w:ascii="Times New Roman" w:eastAsia="Times New Roman" w:hAnsi="Times New Roman" w:cs="Times New Roman"/>
                <w:color w:val="000000"/>
                <w:lang w:eastAsia="pl-PL"/>
              </w:rPr>
              <w:t>MALDI-TOF</w:t>
            </w:r>
            <w:proofErr w:type="spellEnd"/>
            <w:r w:rsidRPr="001211A6">
              <w:rPr>
                <w:rFonts w:ascii="Times New Roman" w:eastAsia="Times New Roman" w:hAnsi="Times New Roman" w:cs="Times New Roman"/>
                <w:color w:val="000000"/>
                <w:lang w:eastAsia="pl-PL"/>
              </w:rPr>
              <w:t xml:space="preserve">). Analizator nowy, nie </w:t>
            </w:r>
            <w:proofErr w:type="spellStart"/>
            <w:r w:rsidRPr="001211A6">
              <w:rPr>
                <w:rFonts w:ascii="Times New Roman" w:eastAsia="Times New Roman" w:hAnsi="Times New Roman" w:cs="Times New Roman"/>
                <w:color w:val="000000"/>
                <w:lang w:eastAsia="pl-PL"/>
              </w:rPr>
              <w:t>podemonstracyjny</w:t>
            </w:r>
            <w:proofErr w:type="spellEnd"/>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2</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W  zestawie  analizator  wraz  z zestawem  komputerowym,  systemem operacyjnym oraz oprogramowaniem w  wersji </w:t>
            </w:r>
            <w:proofErr w:type="spellStart"/>
            <w:r w:rsidRPr="001211A6">
              <w:rPr>
                <w:rFonts w:ascii="Times New Roman" w:eastAsia="Times New Roman" w:hAnsi="Times New Roman" w:cs="Times New Roman"/>
                <w:color w:val="000000"/>
                <w:lang w:eastAsia="pl-PL"/>
              </w:rPr>
              <w:t>CE-IVD</w:t>
            </w:r>
            <w:proofErr w:type="spellEnd"/>
            <w:r w:rsidRPr="001211A6">
              <w:rPr>
                <w:rFonts w:ascii="Times New Roman" w:eastAsia="Times New Roman" w:hAnsi="Times New Roman" w:cs="Times New Roman"/>
                <w:color w:val="000000"/>
                <w:lang w:eastAsia="pl-PL"/>
              </w:rPr>
              <w:t xml:space="preserve">  i  drukarka do wydruku wyników  badań, UPS. </w:t>
            </w:r>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3</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Możliwość  wykonania  badania  dla pojedynczej próbki bez  utraty  pozostałych miejsc (spotów) pomiarowych. </w:t>
            </w:r>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4</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Biblioteka widm umożliwiająca identyfikację Candida </w:t>
            </w:r>
            <w:proofErr w:type="spellStart"/>
            <w:r w:rsidRPr="001211A6">
              <w:rPr>
                <w:rFonts w:ascii="Times New Roman" w:eastAsia="Times New Roman" w:hAnsi="Times New Roman" w:cs="Times New Roman"/>
                <w:color w:val="000000"/>
                <w:lang w:eastAsia="pl-PL"/>
              </w:rPr>
              <w:t>Auris</w:t>
            </w:r>
            <w:proofErr w:type="spellEnd"/>
            <w:r w:rsidRPr="001211A6">
              <w:rPr>
                <w:rFonts w:ascii="Times New Roman" w:eastAsia="Times New Roman" w:hAnsi="Times New Roman" w:cs="Times New Roman"/>
                <w:color w:val="000000"/>
                <w:lang w:eastAsia="pl-PL"/>
              </w:rPr>
              <w:t xml:space="preserve"> </w:t>
            </w:r>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9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5</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Możliwość zastosowania płytek (używanych do nakładania badanych próbek) wielorazowego użytku lub jednorazowych</w:t>
            </w:r>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2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6</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Czas jednej  identyfikacji do 10 minut. </w:t>
            </w:r>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7</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Jedna  kalibracja  wystarczająca  do pomiaru jednej płytki testowej. </w:t>
            </w:r>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13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8</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Możliwość  wykonania  identyfikacji drobnoustrojów bezpośrednio z pozytywnych podłoży  płynnych do posiewu  krwi za pomocą  specjalnego gotowego  certyfikowanego (</w:t>
            </w:r>
            <w:proofErr w:type="spellStart"/>
            <w:r w:rsidRPr="001211A6">
              <w:rPr>
                <w:rFonts w:ascii="Times New Roman" w:eastAsia="Times New Roman" w:hAnsi="Times New Roman" w:cs="Times New Roman"/>
                <w:color w:val="000000"/>
                <w:lang w:eastAsia="pl-PL"/>
              </w:rPr>
              <w:t>CE-IVD</w:t>
            </w:r>
            <w:proofErr w:type="spellEnd"/>
            <w:r w:rsidRPr="001211A6">
              <w:rPr>
                <w:rFonts w:ascii="Times New Roman" w:eastAsia="Times New Roman" w:hAnsi="Times New Roman" w:cs="Times New Roman"/>
                <w:color w:val="000000"/>
                <w:lang w:eastAsia="pl-PL"/>
              </w:rPr>
              <w:t>) zestawu  odczynników.</w:t>
            </w:r>
          </w:p>
        </w:tc>
        <w:tc>
          <w:tcPr>
            <w:tcW w:w="2816" w:type="dxa"/>
            <w:tcBorders>
              <w:top w:val="single" w:sz="4" w:space="0" w:color="auto"/>
              <w:left w:val="nil"/>
              <w:bottom w:val="single" w:sz="4" w:space="0" w:color="auto"/>
              <w:right w:val="single" w:sz="4" w:space="0" w:color="000000"/>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9</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Bezpłatna  aktualizacja  oprogramowania  w okresie  obowiązywania umowy  dzierżawy. </w:t>
            </w:r>
          </w:p>
        </w:tc>
        <w:tc>
          <w:tcPr>
            <w:tcW w:w="2816" w:type="dxa"/>
            <w:tcBorders>
              <w:top w:val="single" w:sz="4" w:space="0" w:color="auto"/>
              <w:left w:val="nil"/>
              <w:bottom w:val="single" w:sz="4" w:space="0" w:color="auto"/>
              <w:right w:val="single" w:sz="4" w:space="0" w:color="auto"/>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10</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 xml:space="preserve">Możliwość  zdalnej diagnostyki serwisowej przez  zabezpieczone  łącze  internetowe. </w:t>
            </w:r>
          </w:p>
        </w:tc>
        <w:tc>
          <w:tcPr>
            <w:tcW w:w="2816" w:type="dxa"/>
            <w:tcBorders>
              <w:top w:val="single" w:sz="4" w:space="0" w:color="auto"/>
              <w:left w:val="nil"/>
              <w:bottom w:val="single" w:sz="4" w:space="0" w:color="auto"/>
              <w:right w:val="single" w:sz="4" w:space="0" w:color="000000"/>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4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11</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Instrukcja obsługi systemu w języku polskim</w:t>
            </w:r>
          </w:p>
        </w:tc>
        <w:tc>
          <w:tcPr>
            <w:tcW w:w="2816" w:type="dxa"/>
            <w:tcBorders>
              <w:top w:val="single" w:sz="4" w:space="0" w:color="auto"/>
              <w:left w:val="nil"/>
              <w:bottom w:val="single" w:sz="4" w:space="0" w:color="auto"/>
              <w:right w:val="single" w:sz="4" w:space="0" w:color="000000"/>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112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12</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Wykonawca wykaże się doświadczeniem potwierdzonym pisemnymi referencjami z minimum trzech tożsamych dostaw i instalacji na terenie Polski nie starszych niż 2 lata.</w:t>
            </w:r>
          </w:p>
        </w:tc>
        <w:tc>
          <w:tcPr>
            <w:tcW w:w="2816" w:type="dxa"/>
            <w:tcBorders>
              <w:top w:val="single" w:sz="4" w:space="0" w:color="auto"/>
              <w:left w:val="nil"/>
              <w:bottom w:val="single" w:sz="4" w:space="0" w:color="auto"/>
              <w:right w:val="single" w:sz="4" w:space="0" w:color="000000"/>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r w:rsidR="00432A64" w:rsidRPr="001211A6" w:rsidTr="000B4F83">
        <w:trPr>
          <w:trHeight w:val="6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13</w:t>
            </w:r>
          </w:p>
        </w:tc>
        <w:tc>
          <w:tcPr>
            <w:tcW w:w="6286" w:type="dxa"/>
            <w:tcBorders>
              <w:top w:val="nil"/>
              <w:left w:val="nil"/>
              <w:bottom w:val="single" w:sz="4" w:space="0" w:color="auto"/>
              <w:right w:val="single" w:sz="4" w:space="0" w:color="auto"/>
            </w:tcBorders>
            <w:shd w:val="clear" w:color="auto" w:fill="auto"/>
            <w:vAlign w:val="center"/>
            <w:hideMark/>
          </w:tcPr>
          <w:p w:rsidR="00432A64" w:rsidRPr="001211A6" w:rsidRDefault="00432A64" w:rsidP="000B4F83">
            <w:pPr>
              <w:spacing w:after="0" w:line="240" w:lineRule="auto"/>
              <w:rPr>
                <w:rFonts w:ascii="Times New Roman" w:eastAsia="Times New Roman" w:hAnsi="Times New Roman" w:cs="Times New Roman"/>
                <w:color w:val="000000"/>
                <w:lang w:eastAsia="pl-PL"/>
              </w:rPr>
            </w:pPr>
            <w:r w:rsidRPr="001211A6">
              <w:rPr>
                <w:rFonts w:ascii="Times New Roman" w:eastAsia="Times New Roman" w:hAnsi="Times New Roman" w:cs="Times New Roman"/>
                <w:color w:val="000000"/>
                <w:lang w:eastAsia="pl-PL"/>
              </w:rPr>
              <w:t>Rozmiary aparatu umożliwiające jego pracę na stole laboratoryjnym (</w:t>
            </w:r>
            <w:proofErr w:type="spellStart"/>
            <w:r w:rsidRPr="001211A6">
              <w:rPr>
                <w:rFonts w:ascii="Times New Roman" w:eastAsia="Times New Roman" w:hAnsi="Times New Roman" w:cs="Times New Roman"/>
                <w:color w:val="000000"/>
                <w:lang w:eastAsia="pl-PL"/>
              </w:rPr>
              <w:t>Bench</w:t>
            </w:r>
            <w:proofErr w:type="spellEnd"/>
            <w:r w:rsidRPr="001211A6">
              <w:rPr>
                <w:rFonts w:ascii="Times New Roman" w:eastAsia="Times New Roman" w:hAnsi="Times New Roman" w:cs="Times New Roman"/>
                <w:color w:val="000000"/>
                <w:lang w:eastAsia="pl-PL"/>
              </w:rPr>
              <w:t xml:space="preserve"> Top System)</w:t>
            </w:r>
          </w:p>
        </w:tc>
        <w:tc>
          <w:tcPr>
            <w:tcW w:w="2816" w:type="dxa"/>
            <w:tcBorders>
              <w:top w:val="single" w:sz="4" w:space="0" w:color="auto"/>
              <w:left w:val="nil"/>
              <w:bottom w:val="single" w:sz="4" w:space="0" w:color="auto"/>
              <w:right w:val="single" w:sz="4" w:space="0" w:color="000000"/>
            </w:tcBorders>
            <w:shd w:val="clear" w:color="auto" w:fill="FFFF00"/>
            <w:noWrap/>
            <w:vAlign w:val="bottom"/>
            <w:hideMark/>
          </w:tcPr>
          <w:p w:rsidR="00432A64" w:rsidRPr="001211A6" w:rsidRDefault="00432A64" w:rsidP="000B4F83">
            <w:pPr>
              <w:spacing w:after="0" w:line="240" w:lineRule="auto"/>
              <w:jc w:val="center"/>
              <w:rPr>
                <w:rFonts w:ascii="Times New Roman" w:eastAsia="Times New Roman" w:hAnsi="Times New Roman" w:cs="Times New Roman"/>
                <w:lang w:eastAsia="pl-PL"/>
              </w:rPr>
            </w:pPr>
            <w:r w:rsidRPr="001211A6">
              <w:rPr>
                <w:rFonts w:ascii="Times New Roman" w:eastAsia="Times New Roman" w:hAnsi="Times New Roman" w:cs="Times New Roman"/>
                <w:lang w:eastAsia="pl-PL"/>
              </w:rPr>
              <w:t> </w:t>
            </w:r>
          </w:p>
        </w:tc>
      </w:tr>
    </w:tbl>
    <w:p w:rsidR="00432A64" w:rsidRDefault="00432A64" w:rsidP="00432A64"/>
    <w:p w:rsidR="00432A64" w:rsidRDefault="00432A64" w:rsidP="009A2CD6"/>
    <w:p w:rsidR="00B25A94" w:rsidRPr="001D1A34" w:rsidRDefault="00B25A94" w:rsidP="00B25A94">
      <w:pPr>
        <w:spacing w:after="0"/>
        <w:jc w:val="center"/>
        <w:rPr>
          <w:rFonts w:ascii="Times New Roman" w:hAnsi="Times New Roman" w:cs="Times New Roman"/>
          <w:b/>
          <w:color w:val="000000"/>
          <w:sz w:val="32"/>
          <w:szCs w:val="32"/>
        </w:rPr>
      </w:pPr>
      <w:r w:rsidRPr="0056641A">
        <w:rPr>
          <w:rFonts w:ascii="Times New Roman" w:hAnsi="Times New Roman" w:cs="Times New Roman"/>
          <w:b/>
          <w:sz w:val="32"/>
          <w:szCs w:val="32"/>
          <w:highlight w:val="yellow"/>
        </w:rPr>
        <w:lastRenderedPageBreak/>
        <w:t xml:space="preserve">Wymagania dotyczące </w:t>
      </w:r>
      <w:r w:rsidRPr="0056641A">
        <w:rPr>
          <w:rFonts w:ascii="Times New Roman" w:hAnsi="Times New Roman" w:cs="Times New Roman"/>
          <w:b/>
          <w:color w:val="000000"/>
          <w:sz w:val="32"/>
          <w:szCs w:val="32"/>
          <w:highlight w:val="yellow"/>
        </w:rPr>
        <w:t xml:space="preserve">zadania </w:t>
      </w:r>
      <w:r w:rsidRPr="00B25A94">
        <w:rPr>
          <w:rFonts w:ascii="Times New Roman" w:hAnsi="Times New Roman" w:cs="Times New Roman"/>
          <w:b/>
          <w:color w:val="000000"/>
          <w:sz w:val="32"/>
          <w:szCs w:val="32"/>
          <w:highlight w:val="yellow"/>
          <w:shd w:val="clear" w:color="auto" w:fill="FFFF00"/>
        </w:rPr>
        <w:t xml:space="preserve">nr </w:t>
      </w:r>
      <w:r w:rsidRPr="00B25A94">
        <w:rPr>
          <w:rFonts w:ascii="Times New Roman" w:hAnsi="Times New Roman" w:cs="Times New Roman"/>
          <w:b/>
          <w:color w:val="000000"/>
          <w:sz w:val="32"/>
          <w:szCs w:val="32"/>
          <w:shd w:val="clear" w:color="auto" w:fill="FFFF00"/>
        </w:rPr>
        <w:t>11</w:t>
      </w:r>
    </w:p>
    <w:p w:rsidR="00B25A94" w:rsidRDefault="00B25A94" w:rsidP="00B25A94">
      <w:pPr>
        <w:spacing w:after="0" w:line="240" w:lineRule="auto"/>
        <w:rPr>
          <w:rFonts w:ascii="Times New Roman" w:eastAsia="Times New Roman" w:hAnsi="Times New Roman"/>
          <w:b/>
          <w:bCs/>
          <w:sz w:val="28"/>
          <w:szCs w:val="28"/>
          <w:lang w:eastAsia="pl-PL"/>
        </w:rPr>
      </w:pPr>
    </w:p>
    <w:p w:rsidR="00B25A94" w:rsidRPr="00C034F0" w:rsidRDefault="00B25A94" w:rsidP="00B25A94">
      <w:pPr>
        <w:spacing w:after="0" w:line="240" w:lineRule="auto"/>
        <w:rPr>
          <w:rFonts w:eastAsia="Times New Roman"/>
          <w:color w:val="000000"/>
          <w:sz w:val="28"/>
          <w:szCs w:val="28"/>
          <w:lang w:eastAsia="pl-PL"/>
        </w:rPr>
      </w:pPr>
      <w:r w:rsidRPr="00B15FCE">
        <w:rPr>
          <w:rFonts w:ascii="Times New Roman" w:eastAsia="Times New Roman" w:hAnsi="Times New Roman"/>
          <w:b/>
          <w:bCs/>
          <w:sz w:val="28"/>
          <w:szCs w:val="28"/>
          <w:lang w:eastAsia="pl-PL"/>
        </w:rPr>
        <w:t xml:space="preserve">Zadanie nr </w:t>
      </w:r>
      <w:r>
        <w:rPr>
          <w:rFonts w:ascii="Times New Roman" w:eastAsia="Times New Roman" w:hAnsi="Times New Roman"/>
          <w:b/>
          <w:bCs/>
          <w:sz w:val="28"/>
          <w:szCs w:val="28"/>
          <w:lang w:eastAsia="pl-PL"/>
        </w:rPr>
        <w:t>1</w:t>
      </w:r>
      <w:r w:rsidRPr="00B15FCE">
        <w:rPr>
          <w:rFonts w:ascii="Times New Roman" w:eastAsia="Times New Roman" w:hAnsi="Times New Roman"/>
          <w:b/>
          <w:bCs/>
          <w:sz w:val="28"/>
          <w:szCs w:val="28"/>
          <w:lang w:eastAsia="pl-PL"/>
        </w:rPr>
        <w:t>1</w:t>
      </w:r>
      <w:r>
        <w:rPr>
          <w:rFonts w:ascii="Times New Roman" w:eastAsia="Times New Roman" w:hAnsi="Times New Roman"/>
          <w:b/>
          <w:bCs/>
          <w:sz w:val="28"/>
          <w:szCs w:val="28"/>
          <w:lang w:eastAsia="pl-PL"/>
        </w:rPr>
        <w:t xml:space="preserve"> część A</w:t>
      </w:r>
      <w:r w:rsidRPr="00B15FCE">
        <w:rPr>
          <w:rFonts w:ascii="Times New Roman" w:eastAsia="Times New Roman" w:hAnsi="Times New Roman"/>
          <w:b/>
          <w:bCs/>
          <w:sz w:val="28"/>
          <w:szCs w:val="28"/>
          <w:lang w:eastAsia="pl-PL"/>
        </w:rPr>
        <w:t xml:space="preserve">: </w:t>
      </w:r>
      <w:r>
        <w:rPr>
          <w:rFonts w:ascii="Times New Roman" w:eastAsia="Times New Roman" w:hAnsi="Times New Roman"/>
          <w:b/>
          <w:bCs/>
          <w:color w:val="953634"/>
          <w:sz w:val="28"/>
          <w:szCs w:val="28"/>
          <w:lang w:eastAsia="pl-PL"/>
        </w:rPr>
        <w:t xml:space="preserve">Dostawa odczynników do </w:t>
      </w:r>
      <w:r w:rsidRPr="00C034F0">
        <w:rPr>
          <w:rFonts w:ascii="Times New Roman" w:eastAsia="Times New Roman" w:hAnsi="Times New Roman"/>
          <w:b/>
          <w:bCs/>
          <w:color w:val="953634"/>
          <w:sz w:val="28"/>
          <w:szCs w:val="28"/>
          <w:lang w:eastAsia="pl-PL"/>
        </w:rPr>
        <w:t>Pracowni HLA</w:t>
      </w:r>
    </w:p>
    <w:p w:rsidR="00B25A94" w:rsidRDefault="00B25A94" w:rsidP="00B25A94">
      <w:pPr>
        <w:jc w:val="both"/>
        <w:rPr>
          <w:rFonts w:ascii="Arial" w:eastAsia="Times New Roman" w:hAnsi="Arial" w:cs="Arial"/>
          <w:b/>
          <w:bCs/>
          <w:color w:val="000000"/>
          <w:sz w:val="21"/>
          <w:szCs w:val="21"/>
          <w:lang w:eastAsia="pl-PL"/>
        </w:rPr>
      </w:pPr>
      <w:r w:rsidRPr="00C034F0">
        <w:rPr>
          <w:rFonts w:ascii="Arial" w:eastAsia="Times New Roman" w:hAnsi="Arial" w:cs="Arial"/>
          <w:b/>
          <w:bCs/>
          <w:color w:val="000000"/>
          <w:sz w:val="21"/>
          <w:szCs w:val="21"/>
          <w:lang w:eastAsia="pl-PL"/>
        </w:rPr>
        <w:t> </w:t>
      </w:r>
    </w:p>
    <w:p w:rsidR="00B25A94" w:rsidRPr="003902A3" w:rsidRDefault="00B25A94" w:rsidP="00B25A94">
      <w:pPr>
        <w:ind w:firstLine="708"/>
        <w:jc w:val="both"/>
        <w:rPr>
          <w:rFonts w:ascii="Times New Roman" w:hAnsi="Times New Roman"/>
        </w:rPr>
      </w:pPr>
      <w:r w:rsidRPr="003902A3">
        <w:rPr>
          <w:rFonts w:ascii="Times New Roman" w:hAnsi="Times New Roman"/>
        </w:rPr>
        <w:t xml:space="preserve">Wszystkie wymienione odczynniki </w:t>
      </w:r>
      <w:r w:rsidRPr="00716CE6">
        <w:rPr>
          <w:rFonts w:ascii="Times New Roman" w:hAnsi="Times New Roman"/>
        </w:rPr>
        <w:t>są</w:t>
      </w:r>
      <w:r w:rsidRPr="003902A3">
        <w:rPr>
          <w:rFonts w:ascii="Times New Roman" w:hAnsi="Times New Roman"/>
        </w:rPr>
        <w:t xml:space="preserve"> zawarte w jednym pakiecie/ofercie – nie ma możliwości rozłożenia pakietu na kilka mniejszych.</w:t>
      </w:r>
    </w:p>
    <w:p w:rsidR="00B25A94" w:rsidRDefault="00B25A94" w:rsidP="00B25A94">
      <w:pPr>
        <w:spacing w:after="0" w:line="240" w:lineRule="auto"/>
        <w:rPr>
          <w:rFonts w:ascii="Times New Roman" w:eastAsia="Times New Roman" w:hAnsi="Times New Roman"/>
          <w:b/>
          <w:bCs/>
          <w:color w:val="C10000"/>
          <w:sz w:val="24"/>
          <w:szCs w:val="24"/>
          <w:lang w:eastAsia="pl-PL"/>
        </w:rPr>
      </w:pPr>
    </w:p>
    <w:p w:rsidR="00B25A94" w:rsidRPr="00C034F0" w:rsidRDefault="00B25A94" w:rsidP="00B25A94">
      <w:pPr>
        <w:spacing w:after="0" w:line="240" w:lineRule="auto"/>
        <w:rPr>
          <w:rFonts w:eastAsia="Times New Roman"/>
          <w:color w:val="000000"/>
          <w:lang w:eastAsia="pl-PL"/>
        </w:rPr>
      </w:pPr>
      <w:r w:rsidRPr="00C034F0">
        <w:rPr>
          <w:rFonts w:ascii="Times New Roman" w:eastAsia="Times New Roman" w:hAnsi="Times New Roman"/>
          <w:b/>
          <w:bCs/>
          <w:color w:val="C10000"/>
          <w:sz w:val="24"/>
          <w:szCs w:val="24"/>
          <w:lang w:eastAsia="pl-PL"/>
        </w:rPr>
        <w:t>Zestawy do typowania antygenów zgodno</w:t>
      </w:r>
      <w:r w:rsidRPr="00C034F0">
        <w:rPr>
          <w:rFonts w:eastAsia="Times New Roman"/>
          <w:b/>
          <w:bCs/>
          <w:color w:val="C10000"/>
          <w:sz w:val="24"/>
          <w:szCs w:val="24"/>
          <w:lang w:eastAsia="pl-PL"/>
        </w:rPr>
        <w:t>ś</w:t>
      </w:r>
      <w:r w:rsidRPr="00C034F0">
        <w:rPr>
          <w:rFonts w:ascii="Times New Roman" w:eastAsia="Times New Roman" w:hAnsi="Times New Roman"/>
          <w:b/>
          <w:bCs/>
          <w:color w:val="C10000"/>
          <w:sz w:val="24"/>
          <w:szCs w:val="24"/>
          <w:lang w:eastAsia="pl-PL"/>
        </w:rPr>
        <w:t>ci tkankowej – metod</w:t>
      </w:r>
      <w:r w:rsidRPr="00C034F0">
        <w:rPr>
          <w:rFonts w:eastAsia="Times New Roman"/>
          <w:b/>
          <w:bCs/>
          <w:color w:val="C10000"/>
          <w:sz w:val="24"/>
          <w:szCs w:val="24"/>
          <w:lang w:eastAsia="pl-PL"/>
        </w:rPr>
        <w:t>ą </w:t>
      </w:r>
      <w:proofErr w:type="spellStart"/>
      <w:r w:rsidRPr="00C034F0">
        <w:rPr>
          <w:rFonts w:ascii="Times New Roman" w:eastAsia="Times New Roman" w:hAnsi="Times New Roman"/>
          <w:b/>
          <w:bCs/>
          <w:color w:val="C10000"/>
          <w:sz w:val="24"/>
          <w:szCs w:val="24"/>
          <w:lang w:eastAsia="pl-PL"/>
        </w:rPr>
        <w:t>PCR-SSP</w:t>
      </w:r>
      <w:proofErr w:type="spellEnd"/>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sidRPr="00A97DFB">
        <w:rPr>
          <w:rFonts w:ascii="Times New Roman" w:eastAsia="Times New Roman" w:hAnsi="Times New Roman"/>
          <w:color w:val="000000"/>
          <w:sz w:val="24"/>
          <w:szCs w:val="24"/>
          <w:lang w:eastAsia="pl-PL"/>
        </w:rPr>
        <w:t>Pozytywna kontrola amplifikacji w dwóch różnych wielkościach molekularnych</w:t>
      </w:r>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sidRPr="00A97DFB">
        <w:rPr>
          <w:rFonts w:ascii="Times New Roman" w:eastAsia="Times New Roman" w:hAnsi="Times New Roman"/>
          <w:color w:val="000000"/>
          <w:sz w:val="24"/>
          <w:szCs w:val="24"/>
          <w:lang w:eastAsia="pl-PL"/>
        </w:rPr>
        <w:t>Kontrola odczynnikowa zawarta w panelu do oznaczeń</w:t>
      </w:r>
      <w:r w:rsidRPr="00A97DFB">
        <w:rPr>
          <w:rFonts w:ascii="TimesNewRoman" w:eastAsia="Times New Roman" w:hAnsi="TimesNewRoman"/>
          <w:color w:val="000000"/>
          <w:sz w:val="24"/>
          <w:szCs w:val="24"/>
          <w:lang w:eastAsia="pl-PL"/>
        </w:rPr>
        <w:t> </w:t>
      </w:r>
      <w:r w:rsidRPr="00A97DFB">
        <w:rPr>
          <w:rFonts w:ascii="Times New Roman" w:eastAsia="Times New Roman" w:hAnsi="Times New Roman"/>
          <w:color w:val="000000"/>
          <w:sz w:val="24"/>
          <w:szCs w:val="24"/>
          <w:lang w:eastAsia="pl-PL"/>
        </w:rPr>
        <w:t xml:space="preserve">– bez </w:t>
      </w:r>
      <w:proofErr w:type="spellStart"/>
      <w:r w:rsidRPr="00A97DFB">
        <w:rPr>
          <w:rFonts w:ascii="Times New Roman" w:eastAsia="Times New Roman" w:hAnsi="Times New Roman"/>
          <w:color w:val="000000"/>
          <w:sz w:val="24"/>
          <w:szCs w:val="24"/>
          <w:lang w:eastAsia="pl-PL"/>
        </w:rPr>
        <w:t>koniecznościdostawiania</w:t>
      </w:r>
      <w:proofErr w:type="spellEnd"/>
      <w:r w:rsidRPr="00A97DFB">
        <w:rPr>
          <w:rFonts w:ascii="Times New Roman" w:eastAsia="Times New Roman" w:hAnsi="Times New Roman"/>
          <w:color w:val="000000"/>
          <w:sz w:val="24"/>
          <w:szCs w:val="24"/>
          <w:lang w:eastAsia="pl-PL"/>
        </w:rPr>
        <w:t xml:space="preserve"> dodatkowej probówki</w:t>
      </w:r>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C</w:t>
      </w:r>
      <w:r w:rsidRPr="00A97DFB">
        <w:rPr>
          <w:rFonts w:ascii="Times New Roman" w:eastAsia="Times New Roman" w:hAnsi="Times New Roman"/>
          <w:color w:val="000000"/>
          <w:sz w:val="24"/>
          <w:szCs w:val="24"/>
          <w:lang w:eastAsia="pl-PL"/>
        </w:rPr>
        <w:t xml:space="preserve">ertyfikat </w:t>
      </w:r>
      <w:proofErr w:type="spellStart"/>
      <w:r w:rsidRPr="00A97DFB">
        <w:rPr>
          <w:rFonts w:ascii="Times New Roman" w:eastAsia="Times New Roman" w:hAnsi="Times New Roman"/>
          <w:color w:val="000000"/>
          <w:sz w:val="24"/>
          <w:szCs w:val="24"/>
          <w:lang w:eastAsia="pl-PL"/>
        </w:rPr>
        <w:t>CE</w:t>
      </w:r>
      <w:r>
        <w:rPr>
          <w:rFonts w:ascii="Times New Roman" w:eastAsia="Times New Roman" w:hAnsi="Times New Roman"/>
          <w:color w:val="000000"/>
          <w:sz w:val="24"/>
          <w:szCs w:val="24"/>
          <w:lang w:eastAsia="pl-PL"/>
        </w:rPr>
        <w:t>-</w:t>
      </w:r>
      <w:r w:rsidRPr="00A97DFB">
        <w:rPr>
          <w:rFonts w:ascii="Times New Roman" w:eastAsia="Times New Roman" w:hAnsi="Times New Roman"/>
          <w:color w:val="000000"/>
          <w:sz w:val="24"/>
          <w:szCs w:val="24"/>
          <w:lang w:eastAsia="pl-PL"/>
        </w:rPr>
        <w:t>IVD</w:t>
      </w:r>
      <w:proofErr w:type="spellEnd"/>
      <w:r w:rsidRPr="00A97DFB">
        <w:rPr>
          <w:rFonts w:ascii="Times New Roman" w:eastAsia="Times New Roman" w:hAnsi="Times New Roman"/>
          <w:color w:val="000000"/>
          <w:sz w:val="24"/>
          <w:szCs w:val="24"/>
          <w:lang w:eastAsia="pl-PL"/>
        </w:rPr>
        <w:t xml:space="preserve"> dla zestawów do HLA</w:t>
      </w:r>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W</w:t>
      </w:r>
      <w:r w:rsidRPr="00A97DFB">
        <w:rPr>
          <w:rFonts w:ascii="Times New Roman" w:eastAsia="Times New Roman" w:hAnsi="Times New Roman"/>
          <w:color w:val="000000"/>
          <w:sz w:val="24"/>
          <w:szCs w:val="24"/>
          <w:lang w:eastAsia="pl-PL"/>
        </w:rPr>
        <w:t xml:space="preserve">yniki uzyskiwane przy użyciu oferowanych odczynników powinny </w:t>
      </w:r>
      <w:proofErr w:type="spellStart"/>
      <w:r w:rsidRPr="00A97DFB">
        <w:rPr>
          <w:rFonts w:ascii="Times New Roman" w:eastAsia="Times New Roman" w:hAnsi="Times New Roman"/>
          <w:color w:val="000000"/>
          <w:sz w:val="24"/>
          <w:szCs w:val="24"/>
          <w:lang w:eastAsia="pl-PL"/>
        </w:rPr>
        <w:t>spełniaćkryteria</w:t>
      </w:r>
      <w:proofErr w:type="spellEnd"/>
      <w:r w:rsidRPr="00A97DFB">
        <w:rPr>
          <w:rFonts w:ascii="Times New Roman" w:eastAsia="Times New Roman" w:hAnsi="Times New Roman"/>
          <w:color w:val="000000"/>
          <w:sz w:val="24"/>
          <w:szCs w:val="24"/>
          <w:lang w:eastAsia="pl-PL"/>
        </w:rPr>
        <w:t xml:space="preserve"> EFI (Europejskiej Federacji Immunogenetyki)</w:t>
      </w:r>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P</w:t>
      </w:r>
      <w:r w:rsidRPr="00A97DFB">
        <w:rPr>
          <w:rFonts w:ascii="Times New Roman" w:eastAsia="Times New Roman" w:hAnsi="Times New Roman"/>
          <w:color w:val="000000"/>
          <w:sz w:val="24"/>
          <w:szCs w:val="24"/>
          <w:lang w:eastAsia="pl-PL"/>
        </w:rPr>
        <w:t>rzechowywanie odczynników do HLA w temp. -20</w:t>
      </w:r>
      <w:r>
        <w:rPr>
          <w:rFonts w:ascii="Times New Roman" w:eastAsia="Times New Roman" w:hAnsi="Times New Roman"/>
          <w:color w:val="000000"/>
          <w:sz w:val="24"/>
          <w:szCs w:val="24"/>
          <w:lang w:eastAsia="pl-PL"/>
        </w:rPr>
        <w:t>˚</w:t>
      </w:r>
      <w:r w:rsidRPr="00A97DFB">
        <w:rPr>
          <w:rFonts w:ascii="Times New Roman" w:eastAsia="Times New Roman" w:hAnsi="Times New Roman"/>
          <w:color w:val="000000"/>
          <w:sz w:val="24"/>
          <w:szCs w:val="24"/>
          <w:lang w:eastAsia="pl-PL"/>
        </w:rPr>
        <w:t xml:space="preserve"> do -30</w:t>
      </w:r>
      <w:r>
        <w:rPr>
          <w:rFonts w:ascii="Times New Roman" w:eastAsia="Times New Roman" w:hAnsi="Times New Roman"/>
          <w:color w:val="000000"/>
          <w:sz w:val="24"/>
          <w:szCs w:val="24"/>
          <w:lang w:eastAsia="pl-PL"/>
        </w:rPr>
        <w:t>˚</w:t>
      </w:r>
      <w:r w:rsidRPr="00A97DFB">
        <w:rPr>
          <w:rFonts w:ascii="Times New Roman" w:eastAsia="Times New Roman" w:hAnsi="Times New Roman"/>
          <w:color w:val="000000"/>
          <w:sz w:val="24"/>
          <w:szCs w:val="24"/>
          <w:lang w:eastAsia="pl-PL"/>
        </w:rPr>
        <w:t xml:space="preserve"> C</w:t>
      </w:r>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M</w:t>
      </w:r>
      <w:r w:rsidRPr="00A97DFB">
        <w:rPr>
          <w:rFonts w:ascii="Times New Roman" w:eastAsia="Times New Roman" w:hAnsi="Times New Roman"/>
          <w:color w:val="000000"/>
          <w:sz w:val="24"/>
          <w:szCs w:val="24"/>
          <w:lang w:eastAsia="pl-PL"/>
        </w:rPr>
        <w:t>ożliwość</w:t>
      </w:r>
      <w:r w:rsidRPr="00A97DFB">
        <w:rPr>
          <w:rFonts w:ascii="TimesNewRoman" w:eastAsia="Times New Roman" w:hAnsi="TimesNewRoman"/>
          <w:color w:val="000000"/>
          <w:sz w:val="24"/>
          <w:szCs w:val="24"/>
          <w:lang w:eastAsia="pl-PL"/>
        </w:rPr>
        <w:t> </w:t>
      </w:r>
      <w:r w:rsidRPr="00A97DFB">
        <w:rPr>
          <w:rFonts w:ascii="Times New Roman" w:eastAsia="Times New Roman" w:hAnsi="Times New Roman"/>
          <w:color w:val="000000"/>
          <w:sz w:val="24"/>
          <w:szCs w:val="24"/>
          <w:lang w:eastAsia="pl-PL"/>
        </w:rPr>
        <w:t xml:space="preserve">oznaczenia antygenów dla pojedynczego pacjenta (bez </w:t>
      </w:r>
      <w:proofErr w:type="spellStart"/>
      <w:r w:rsidRPr="00A97DFB">
        <w:rPr>
          <w:rFonts w:ascii="Times New Roman" w:eastAsia="Times New Roman" w:hAnsi="Times New Roman"/>
          <w:color w:val="000000"/>
          <w:sz w:val="24"/>
          <w:szCs w:val="24"/>
          <w:lang w:eastAsia="pl-PL"/>
        </w:rPr>
        <w:t>koniecznościodcinania</w:t>
      </w:r>
      <w:proofErr w:type="spellEnd"/>
      <w:r w:rsidRPr="00A97DFB">
        <w:rPr>
          <w:rFonts w:ascii="Times New Roman" w:eastAsia="Times New Roman" w:hAnsi="Times New Roman"/>
          <w:color w:val="000000"/>
          <w:sz w:val="24"/>
          <w:szCs w:val="24"/>
          <w:lang w:eastAsia="pl-PL"/>
        </w:rPr>
        <w:t xml:space="preserve"> elementów płytki testowej)</w:t>
      </w:r>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O</w:t>
      </w:r>
      <w:r w:rsidRPr="00A97DFB">
        <w:rPr>
          <w:rFonts w:ascii="Times New Roman" w:eastAsia="Times New Roman" w:hAnsi="Times New Roman"/>
          <w:color w:val="000000"/>
          <w:sz w:val="24"/>
          <w:szCs w:val="24"/>
          <w:lang w:eastAsia="pl-PL"/>
        </w:rPr>
        <w:t xml:space="preserve">programowanie </w:t>
      </w:r>
      <w:proofErr w:type="spellStart"/>
      <w:r w:rsidRPr="00A97DFB">
        <w:rPr>
          <w:rFonts w:ascii="Times New Roman" w:eastAsia="Times New Roman" w:hAnsi="Times New Roman"/>
          <w:color w:val="000000"/>
          <w:sz w:val="24"/>
          <w:szCs w:val="24"/>
          <w:lang w:eastAsia="pl-PL"/>
        </w:rPr>
        <w:t>online</w:t>
      </w:r>
      <w:proofErr w:type="spellEnd"/>
      <w:r w:rsidRPr="00A97DFB">
        <w:rPr>
          <w:rFonts w:ascii="Times New Roman" w:eastAsia="Times New Roman" w:hAnsi="Times New Roman"/>
          <w:color w:val="000000"/>
          <w:sz w:val="24"/>
          <w:szCs w:val="24"/>
          <w:lang w:eastAsia="pl-PL"/>
        </w:rPr>
        <w:t xml:space="preserve"> dostępne po zalogowaniu na stronie producenta testów</w:t>
      </w:r>
    </w:p>
    <w:p w:rsidR="00B25A94" w:rsidRPr="00A97DFB" w:rsidRDefault="00B25A94" w:rsidP="00B25A94">
      <w:pPr>
        <w:pStyle w:val="Akapitzlist"/>
        <w:numPr>
          <w:ilvl w:val="0"/>
          <w:numId w:val="1"/>
        </w:numPr>
        <w:spacing w:after="0" w:line="240" w:lineRule="auto"/>
        <w:jc w:val="both"/>
        <w:rPr>
          <w:rFonts w:eastAsia="Times New Roman"/>
          <w:color w:val="000000"/>
          <w:lang w:eastAsia="pl-PL"/>
        </w:rPr>
      </w:pPr>
      <w:r w:rsidRPr="00A97DFB">
        <w:rPr>
          <w:rFonts w:ascii="Times New Roman" w:eastAsia="Times New Roman" w:hAnsi="Times New Roman"/>
          <w:color w:val="000000"/>
          <w:sz w:val="24"/>
          <w:szCs w:val="24"/>
          <w:lang w:eastAsia="pl-PL"/>
        </w:rPr>
        <w:t xml:space="preserve">Szczelne zamknięcie probówek z </w:t>
      </w:r>
      <w:proofErr w:type="spellStart"/>
      <w:r w:rsidRPr="00A97DFB">
        <w:rPr>
          <w:rFonts w:ascii="Times New Roman" w:eastAsia="Times New Roman" w:hAnsi="Times New Roman"/>
          <w:color w:val="000000"/>
          <w:sz w:val="24"/>
          <w:szCs w:val="24"/>
          <w:lang w:eastAsia="pl-PL"/>
        </w:rPr>
        <w:t>primerami</w:t>
      </w:r>
      <w:proofErr w:type="spellEnd"/>
      <w:r w:rsidRPr="00A97DFB">
        <w:rPr>
          <w:rFonts w:ascii="Times New Roman" w:eastAsia="Times New Roman" w:hAnsi="Times New Roman"/>
          <w:color w:val="000000"/>
          <w:sz w:val="24"/>
          <w:szCs w:val="24"/>
          <w:lang w:eastAsia="pl-PL"/>
        </w:rPr>
        <w:t xml:space="preserve"> za pomocą</w:t>
      </w:r>
      <w:r w:rsidRPr="00A97DFB">
        <w:rPr>
          <w:rFonts w:ascii="TimesNewRoman" w:eastAsia="Times New Roman" w:hAnsi="TimesNewRoman"/>
          <w:color w:val="000000"/>
          <w:sz w:val="24"/>
          <w:szCs w:val="24"/>
          <w:lang w:eastAsia="pl-PL"/>
        </w:rPr>
        <w:t> </w:t>
      </w:r>
      <w:proofErr w:type="spellStart"/>
      <w:r w:rsidRPr="00A97DFB">
        <w:rPr>
          <w:rFonts w:ascii="Times New Roman" w:eastAsia="Times New Roman" w:hAnsi="Times New Roman"/>
          <w:color w:val="000000"/>
          <w:sz w:val="24"/>
          <w:szCs w:val="24"/>
          <w:lang w:eastAsia="pl-PL"/>
        </w:rPr>
        <w:t>stripów</w:t>
      </w:r>
      <w:proofErr w:type="spellEnd"/>
      <w:r>
        <w:rPr>
          <w:rFonts w:ascii="Times New Roman" w:eastAsia="Times New Roman" w:hAnsi="Times New Roman"/>
          <w:color w:val="000000"/>
          <w:sz w:val="24"/>
          <w:szCs w:val="24"/>
          <w:lang w:eastAsia="pl-PL"/>
        </w:rPr>
        <w:t xml:space="preserve"> lub folii</w:t>
      </w:r>
    </w:p>
    <w:p w:rsidR="00B25A94" w:rsidRPr="00204779" w:rsidRDefault="00B25A94" w:rsidP="00B25A94">
      <w:pPr>
        <w:pStyle w:val="Akapitzlist"/>
        <w:numPr>
          <w:ilvl w:val="0"/>
          <w:numId w:val="1"/>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T</w:t>
      </w:r>
      <w:r w:rsidRPr="00A97DFB">
        <w:rPr>
          <w:rFonts w:ascii="Times New Roman" w:eastAsia="Times New Roman" w:hAnsi="Times New Roman"/>
          <w:color w:val="000000"/>
          <w:sz w:val="24"/>
          <w:szCs w:val="24"/>
          <w:lang w:eastAsia="pl-PL"/>
        </w:rPr>
        <w:t xml:space="preserve">ermin ważności oferowanego towaru w dniu dostawy - min. 12 </w:t>
      </w:r>
      <w:proofErr w:type="spellStart"/>
      <w:r w:rsidRPr="00A97DFB">
        <w:rPr>
          <w:rFonts w:ascii="Times New Roman" w:eastAsia="Times New Roman" w:hAnsi="Times New Roman"/>
          <w:color w:val="000000"/>
          <w:sz w:val="24"/>
          <w:szCs w:val="24"/>
          <w:lang w:eastAsia="pl-PL"/>
        </w:rPr>
        <w:t>m-cy</w:t>
      </w:r>
      <w:proofErr w:type="spellEnd"/>
    </w:p>
    <w:p w:rsidR="00B25A94" w:rsidRDefault="00B25A94" w:rsidP="00B25A94">
      <w:pPr>
        <w:spacing w:after="0" w:line="240" w:lineRule="auto"/>
        <w:ind w:left="360"/>
        <w:jc w:val="both"/>
        <w:rPr>
          <w:rFonts w:eastAsia="Times New Roman"/>
          <w:color w:val="000000"/>
          <w:lang w:eastAsia="pl-PL"/>
        </w:rPr>
      </w:pPr>
    </w:p>
    <w:p w:rsidR="00B25A94" w:rsidRDefault="00B25A94" w:rsidP="00B25A94">
      <w:pPr>
        <w:spacing w:after="0" w:line="240" w:lineRule="auto"/>
        <w:ind w:left="360"/>
        <w:jc w:val="both"/>
        <w:rPr>
          <w:rFonts w:ascii="Times New Roman" w:eastAsia="Times New Roman" w:hAnsi="Times New Roman"/>
          <w:b/>
          <w:color w:val="000000"/>
          <w:sz w:val="24"/>
          <w:szCs w:val="24"/>
          <w:lang w:eastAsia="pl-PL"/>
        </w:rPr>
      </w:pPr>
      <w:r w:rsidRPr="00204779">
        <w:rPr>
          <w:rFonts w:ascii="Times New Roman" w:eastAsia="Times New Roman" w:hAnsi="Times New Roman"/>
          <w:b/>
          <w:color w:val="000000"/>
          <w:sz w:val="24"/>
          <w:szCs w:val="24"/>
          <w:lang w:eastAsia="pl-PL"/>
        </w:rPr>
        <w:t>Dotyczy pkt. 1-</w:t>
      </w:r>
      <w:r>
        <w:rPr>
          <w:rFonts w:ascii="Times New Roman" w:eastAsia="Times New Roman" w:hAnsi="Times New Roman"/>
          <w:b/>
          <w:color w:val="000000"/>
          <w:sz w:val="24"/>
          <w:szCs w:val="24"/>
          <w:lang w:eastAsia="pl-PL"/>
        </w:rPr>
        <w:t>7</w:t>
      </w:r>
    </w:p>
    <w:p w:rsidR="00B25A94" w:rsidRPr="00C034F0" w:rsidRDefault="00B25A94" w:rsidP="00B25A94">
      <w:pPr>
        <w:spacing w:after="0" w:line="240" w:lineRule="auto"/>
        <w:jc w:val="both"/>
        <w:rPr>
          <w:rFonts w:ascii="Times New Roman" w:eastAsia="Times New Roman" w:hAnsi="Times New Roman"/>
          <w:b/>
          <w:color w:val="000000"/>
          <w:sz w:val="24"/>
          <w:szCs w:val="24"/>
          <w:lang w:eastAsia="pl-PL"/>
        </w:rPr>
      </w:pPr>
    </w:p>
    <w:p w:rsidR="00B25A94" w:rsidRPr="00B15FCE" w:rsidRDefault="00B25A94" w:rsidP="00B25A94">
      <w:pPr>
        <w:spacing w:after="0" w:line="240" w:lineRule="auto"/>
        <w:rPr>
          <w:rFonts w:eastAsia="Times New Roman"/>
          <w:color w:val="000000"/>
          <w:lang w:eastAsia="pl-PL"/>
        </w:rPr>
      </w:pPr>
      <w:r w:rsidRPr="00B15FCE">
        <w:rPr>
          <w:rFonts w:ascii="Times New Roman" w:eastAsia="Times New Roman" w:hAnsi="Times New Roman"/>
          <w:b/>
          <w:bCs/>
          <w:color w:val="C00000"/>
          <w:sz w:val="24"/>
          <w:szCs w:val="24"/>
          <w:lang w:eastAsia="pl-PL"/>
        </w:rPr>
        <w:t>Bufor TBE 5X</w:t>
      </w:r>
    </w:p>
    <w:p w:rsidR="00B25A94" w:rsidRPr="00204779" w:rsidRDefault="00B25A94" w:rsidP="00B25A94">
      <w:pPr>
        <w:pStyle w:val="Akapitzlist"/>
        <w:numPr>
          <w:ilvl w:val="0"/>
          <w:numId w:val="8"/>
        </w:numPr>
        <w:spacing w:after="0" w:line="240" w:lineRule="auto"/>
        <w:rPr>
          <w:rFonts w:eastAsia="Times New Roman"/>
          <w:color w:val="000000"/>
          <w:lang w:eastAsia="pl-PL"/>
        </w:rPr>
      </w:pPr>
      <w:r w:rsidRPr="00204779">
        <w:rPr>
          <w:rFonts w:ascii="Times New Roman" w:eastAsia="Times New Roman" w:hAnsi="Times New Roman"/>
          <w:color w:val="000000"/>
          <w:sz w:val="24"/>
          <w:szCs w:val="24"/>
          <w:lang w:eastAsia="pl-PL"/>
        </w:rPr>
        <w:t>Bufor 5x stężony o pojemności 1 litra w opakowaniu</w:t>
      </w:r>
    </w:p>
    <w:p w:rsidR="00B25A94" w:rsidRPr="00204779" w:rsidRDefault="00B25A94" w:rsidP="00B25A94">
      <w:pPr>
        <w:pStyle w:val="Akapitzlist"/>
        <w:numPr>
          <w:ilvl w:val="0"/>
          <w:numId w:val="8"/>
        </w:numPr>
        <w:spacing w:after="0" w:line="240" w:lineRule="auto"/>
        <w:rPr>
          <w:rFonts w:eastAsia="Times New Roman"/>
          <w:color w:val="000000"/>
          <w:lang w:eastAsia="pl-PL"/>
        </w:rPr>
      </w:pPr>
      <w:proofErr w:type="spellStart"/>
      <w:r w:rsidRPr="00204779">
        <w:rPr>
          <w:rFonts w:ascii="Times New Roman" w:eastAsia="Times New Roman" w:hAnsi="Times New Roman"/>
          <w:color w:val="000000"/>
          <w:sz w:val="24"/>
          <w:szCs w:val="24"/>
          <w:lang w:eastAsia="pl-PL"/>
        </w:rPr>
        <w:t>pH</w:t>
      </w:r>
      <w:proofErr w:type="spellEnd"/>
      <w:r w:rsidRPr="00204779">
        <w:rPr>
          <w:rFonts w:ascii="Times New Roman" w:eastAsia="Times New Roman" w:hAnsi="Times New Roman"/>
          <w:color w:val="000000"/>
          <w:sz w:val="24"/>
          <w:szCs w:val="24"/>
          <w:lang w:eastAsia="pl-PL"/>
        </w:rPr>
        <w:t xml:space="preserve"> = 8,2-8,4 (w temperaturze 20º C)</w:t>
      </w:r>
    </w:p>
    <w:p w:rsidR="00B25A94" w:rsidRPr="00204779" w:rsidRDefault="00B25A94" w:rsidP="00B25A94">
      <w:pPr>
        <w:pStyle w:val="Akapitzlist"/>
        <w:numPr>
          <w:ilvl w:val="0"/>
          <w:numId w:val="8"/>
        </w:numPr>
        <w:spacing w:after="0" w:line="240" w:lineRule="auto"/>
        <w:rPr>
          <w:rFonts w:eastAsia="Times New Roman"/>
          <w:color w:val="000000"/>
          <w:lang w:val="en-US" w:eastAsia="pl-PL"/>
        </w:rPr>
      </w:pPr>
      <w:proofErr w:type="spellStart"/>
      <w:r w:rsidRPr="00204779">
        <w:rPr>
          <w:rFonts w:ascii="Times New Roman" w:eastAsia="Times New Roman" w:hAnsi="Times New Roman"/>
          <w:color w:val="000000"/>
          <w:sz w:val="24"/>
          <w:szCs w:val="24"/>
          <w:lang w:val="en-US" w:eastAsia="pl-PL"/>
        </w:rPr>
        <w:t>Składbuforu</w:t>
      </w:r>
      <w:proofErr w:type="spellEnd"/>
      <w:r w:rsidRPr="00204779">
        <w:rPr>
          <w:rFonts w:ascii="Times New Roman" w:eastAsia="Times New Roman" w:hAnsi="Times New Roman"/>
          <w:color w:val="000000"/>
          <w:sz w:val="24"/>
          <w:szCs w:val="24"/>
          <w:lang w:val="en-US" w:eastAsia="pl-PL"/>
        </w:rPr>
        <w:t xml:space="preserve">: </w:t>
      </w:r>
      <w:proofErr w:type="spellStart"/>
      <w:r w:rsidRPr="00204779">
        <w:rPr>
          <w:rFonts w:ascii="Times New Roman" w:eastAsia="Times New Roman" w:hAnsi="Times New Roman"/>
          <w:color w:val="000000"/>
          <w:sz w:val="24"/>
          <w:szCs w:val="24"/>
          <w:lang w:val="en-US" w:eastAsia="pl-PL"/>
        </w:rPr>
        <w:t>Tris</w:t>
      </w:r>
      <w:proofErr w:type="spellEnd"/>
      <w:r w:rsidRPr="00204779">
        <w:rPr>
          <w:rFonts w:ascii="Times New Roman" w:eastAsia="Times New Roman" w:hAnsi="Times New Roman"/>
          <w:color w:val="000000"/>
          <w:sz w:val="24"/>
          <w:szCs w:val="24"/>
          <w:lang w:val="en-US" w:eastAsia="pl-PL"/>
        </w:rPr>
        <w:t xml:space="preserve">, EDTA, </w:t>
      </w:r>
      <w:proofErr w:type="spellStart"/>
      <w:r w:rsidRPr="00204779">
        <w:rPr>
          <w:rFonts w:ascii="Times New Roman" w:eastAsia="Times New Roman" w:hAnsi="Times New Roman"/>
          <w:color w:val="000000"/>
          <w:sz w:val="24"/>
          <w:szCs w:val="24"/>
          <w:lang w:val="en-US" w:eastAsia="pl-PL"/>
        </w:rPr>
        <w:t>kwasborny</w:t>
      </w:r>
      <w:proofErr w:type="spellEnd"/>
    </w:p>
    <w:p w:rsidR="00B25A94" w:rsidRPr="00204779" w:rsidRDefault="00B25A94" w:rsidP="00B25A94">
      <w:pPr>
        <w:pStyle w:val="Akapitzlist"/>
        <w:numPr>
          <w:ilvl w:val="0"/>
          <w:numId w:val="8"/>
        </w:numPr>
        <w:spacing w:after="0" w:line="240" w:lineRule="auto"/>
        <w:rPr>
          <w:rFonts w:eastAsia="Times New Roman"/>
          <w:color w:val="000000"/>
          <w:lang w:eastAsia="pl-PL"/>
        </w:rPr>
      </w:pPr>
      <w:r w:rsidRPr="00204779">
        <w:rPr>
          <w:rFonts w:ascii="Times New Roman" w:eastAsia="Times New Roman" w:hAnsi="Times New Roman"/>
          <w:color w:val="000000"/>
          <w:sz w:val="24"/>
          <w:szCs w:val="24"/>
          <w:lang w:eastAsia="pl-PL"/>
        </w:rPr>
        <w:t>Termin ważności: 9 miesięcy od daty dostawy</w:t>
      </w:r>
    </w:p>
    <w:p w:rsidR="00B25A94" w:rsidRDefault="00B25A94" w:rsidP="00B25A94">
      <w:pPr>
        <w:spacing w:after="0" w:line="240" w:lineRule="auto"/>
        <w:rPr>
          <w:rFonts w:eastAsia="Times New Roman"/>
          <w:color w:val="000000"/>
          <w:lang w:eastAsia="pl-PL"/>
        </w:rPr>
      </w:pPr>
    </w:p>
    <w:p w:rsidR="00B25A94" w:rsidRDefault="00B25A94" w:rsidP="00B25A94">
      <w:pPr>
        <w:spacing w:after="0" w:line="240" w:lineRule="auto"/>
        <w:ind w:left="36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       Dotyczy pkt. 8</w:t>
      </w:r>
    </w:p>
    <w:p w:rsidR="00B25A94" w:rsidRPr="00204779" w:rsidRDefault="00B25A94" w:rsidP="00B25A94">
      <w:pPr>
        <w:spacing w:after="0" w:line="240" w:lineRule="auto"/>
        <w:jc w:val="both"/>
        <w:rPr>
          <w:rFonts w:ascii="Times New Roman" w:eastAsia="Times New Roman" w:hAnsi="Times New Roman"/>
          <w:b/>
          <w:color w:val="000000"/>
          <w:sz w:val="24"/>
          <w:szCs w:val="24"/>
          <w:lang w:eastAsia="pl-PL"/>
        </w:rPr>
      </w:pPr>
    </w:p>
    <w:p w:rsidR="00B25A94" w:rsidRPr="00C034F0" w:rsidRDefault="00B25A94" w:rsidP="00B25A94">
      <w:pPr>
        <w:spacing w:after="0" w:line="240" w:lineRule="auto"/>
        <w:rPr>
          <w:rFonts w:eastAsia="Times New Roman"/>
          <w:color w:val="000000"/>
          <w:lang w:eastAsia="pl-PL"/>
        </w:rPr>
      </w:pPr>
      <w:r w:rsidRPr="00C034F0">
        <w:rPr>
          <w:rFonts w:ascii="Times New Roman" w:eastAsia="Times New Roman" w:hAnsi="Times New Roman"/>
          <w:b/>
          <w:bCs/>
          <w:color w:val="C10000"/>
          <w:sz w:val="24"/>
          <w:szCs w:val="24"/>
          <w:lang w:eastAsia="pl-PL"/>
        </w:rPr>
        <w:t xml:space="preserve">Polimeraza </w:t>
      </w:r>
      <w:proofErr w:type="spellStart"/>
      <w:r w:rsidRPr="00C034F0">
        <w:rPr>
          <w:rFonts w:ascii="Times New Roman" w:eastAsia="Times New Roman" w:hAnsi="Times New Roman"/>
          <w:b/>
          <w:bCs/>
          <w:color w:val="C10000"/>
          <w:sz w:val="24"/>
          <w:szCs w:val="24"/>
          <w:lang w:eastAsia="pl-PL"/>
        </w:rPr>
        <w:t>Taq</w:t>
      </w:r>
      <w:proofErr w:type="spellEnd"/>
      <w:r w:rsidRPr="00C034F0">
        <w:rPr>
          <w:rFonts w:ascii="Times New Roman" w:eastAsia="Times New Roman" w:hAnsi="Times New Roman"/>
          <w:b/>
          <w:bCs/>
          <w:color w:val="C10000"/>
          <w:sz w:val="24"/>
          <w:szCs w:val="24"/>
          <w:lang w:eastAsia="pl-PL"/>
        </w:rPr>
        <w:t xml:space="preserve"> do typowania antygenów zgodno</w:t>
      </w:r>
      <w:r w:rsidRPr="00C034F0">
        <w:rPr>
          <w:rFonts w:eastAsia="Times New Roman"/>
          <w:b/>
          <w:bCs/>
          <w:color w:val="C10000"/>
          <w:sz w:val="24"/>
          <w:szCs w:val="24"/>
          <w:lang w:eastAsia="pl-PL"/>
        </w:rPr>
        <w:t>ś</w:t>
      </w:r>
      <w:r w:rsidRPr="00C034F0">
        <w:rPr>
          <w:rFonts w:ascii="Times New Roman" w:eastAsia="Times New Roman" w:hAnsi="Times New Roman"/>
          <w:b/>
          <w:bCs/>
          <w:color w:val="C10000"/>
          <w:sz w:val="24"/>
          <w:szCs w:val="24"/>
          <w:lang w:eastAsia="pl-PL"/>
        </w:rPr>
        <w:t>ci tkankowej – metod</w:t>
      </w:r>
      <w:r w:rsidRPr="00C034F0">
        <w:rPr>
          <w:rFonts w:eastAsia="Times New Roman"/>
          <w:b/>
          <w:bCs/>
          <w:color w:val="C10000"/>
          <w:sz w:val="24"/>
          <w:szCs w:val="24"/>
          <w:lang w:eastAsia="pl-PL"/>
        </w:rPr>
        <w:t>ą </w:t>
      </w:r>
      <w:proofErr w:type="spellStart"/>
      <w:r w:rsidRPr="00C034F0">
        <w:rPr>
          <w:rFonts w:ascii="Times New Roman" w:eastAsia="Times New Roman" w:hAnsi="Times New Roman"/>
          <w:b/>
          <w:bCs/>
          <w:color w:val="C10000"/>
          <w:sz w:val="24"/>
          <w:szCs w:val="24"/>
          <w:lang w:eastAsia="pl-PL"/>
        </w:rPr>
        <w:t>PCR-SSP</w:t>
      </w:r>
      <w:proofErr w:type="spellEnd"/>
    </w:p>
    <w:p w:rsidR="00B25A94" w:rsidRPr="00E00515" w:rsidRDefault="00B25A94" w:rsidP="00B25A94">
      <w:pPr>
        <w:pStyle w:val="Akapitzlist"/>
        <w:numPr>
          <w:ilvl w:val="0"/>
          <w:numId w:val="3"/>
        </w:numPr>
        <w:spacing w:after="0" w:line="240" w:lineRule="auto"/>
        <w:jc w:val="both"/>
        <w:rPr>
          <w:rFonts w:eastAsia="Times New Roman"/>
          <w:color w:val="000000"/>
          <w:lang w:eastAsia="pl-PL"/>
        </w:rPr>
      </w:pPr>
      <w:r w:rsidRPr="00E00515">
        <w:rPr>
          <w:rFonts w:ascii="Times New Roman" w:eastAsia="Times New Roman" w:hAnsi="Times New Roman"/>
          <w:color w:val="000000"/>
          <w:sz w:val="24"/>
          <w:szCs w:val="24"/>
          <w:lang w:eastAsia="pl-PL"/>
        </w:rPr>
        <w:t>Stężenie – 5U/</w:t>
      </w:r>
      <w:proofErr w:type="spellStart"/>
      <w:r w:rsidRPr="00E00515">
        <w:rPr>
          <w:rFonts w:ascii="Times New Roman" w:eastAsia="Times New Roman" w:hAnsi="Times New Roman"/>
          <w:color w:val="000000"/>
          <w:sz w:val="24"/>
          <w:szCs w:val="24"/>
          <w:lang w:eastAsia="pl-PL"/>
        </w:rPr>
        <w:t>μl</w:t>
      </w:r>
      <w:proofErr w:type="spellEnd"/>
      <w:r w:rsidRPr="00E00515">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konfekcjonowana po 4x250 U w jednym </w:t>
      </w:r>
      <w:r w:rsidRPr="00E00515">
        <w:rPr>
          <w:rFonts w:ascii="Times New Roman" w:eastAsia="Times New Roman" w:hAnsi="Times New Roman"/>
          <w:color w:val="000000"/>
          <w:sz w:val="24"/>
          <w:szCs w:val="24"/>
          <w:lang w:eastAsia="pl-PL"/>
        </w:rPr>
        <w:t>op</w:t>
      </w:r>
      <w:r>
        <w:rPr>
          <w:rFonts w:ascii="Times New Roman" w:eastAsia="Times New Roman" w:hAnsi="Times New Roman"/>
          <w:color w:val="000000"/>
          <w:sz w:val="24"/>
          <w:szCs w:val="24"/>
          <w:lang w:eastAsia="pl-PL"/>
        </w:rPr>
        <w:t>akowaniu</w:t>
      </w:r>
    </w:p>
    <w:p w:rsidR="00B25A94" w:rsidRPr="00E00515" w:rsidRDefault="00B25A94" w:rsidP="00B25A94">
      <w:pPr>
        <w:pStyle w:val="Akapitzlist"/>
        <w:numPr>
          <w:ilvl w:val="0"/>
          <w:numId w:val="3"/>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T</w:t>
      </w:r>
      <w:r w:rsidRPr="00E00515">
        <w:rPr>
          <w:rFonts w:ascii="Times New Roman" w:eastAsia="Times New Roman" w:hAnsi="Times New Roman"/>
          <w:color w:val="000000"/>
          <w:sz w:val="24"/>
          <w:szCs w:val="24"/>
          <w:lang w:eastAsia="pl-PL"/>
        </w:rPr>
        <w:t xml:space="preserve">ermin ważności oferowanego towaru w dniu dostawy - min. 12 </w:t>
      </w:r>
      <w:proofErr w:type="spellStart"/>
      <w:r w:rsidRPr="00E00515">
        <w:rPr>
          <w:rFonts w:ascii="Times New Roman" w:eastAsia="Times New Roman" w:hAnsi="Times New Roman"/>
          <w:color w:val="000000"/>
          <w:sz w:val="24"/>
          <w:szCs w:val="24"/>
          <w:lang w:eastAsia="pl-PL"/>
        </w:rPr>
        <w:t>m-cy</w:t>
      </w:r>
      <w:proofErr w:type="spellEnd"/>
    </w:p>
    <w:p w:rsidR="00B25A94" w:rsidRPr="00E00515" w:rsidRDefault="00B25A94" w:rsidP="00B25A94">
      <w:pPr>
        <w:pStyle w:val="Akapitzlist"/>
        <w:numPr>
          <w:ilvl w:val="0"/>
          <w:numId w:val="3"/>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P</w:t>
      </w:r>
      <w:r w:rsidRPr="00E00515">
        <w:rPr>
          <w:rFonts w:ascii="Times New Roman" w:eastAsia="Times New Roman" w:hAnsi="Times New Roman"/>
          <w:color w:val="000000"/>
          <w:sz w:val="24"/>
          <w:szCs w:val="24"/>
          <w:lang w:eastAsia="pl-PL"/>
        </w:rPr>
        <w:t xml:space="preserve">olimeraza </w:t>
      </w:r>
      <w:proofErr w:type="spellStart"/>
      <w:r w:rsidRPr="00E00515">
        <w:rPr>
          <w:rFonts w:ascii="Times New Roman" w:eastAsia="Times New Roman" w:hAnsi="Times New Roman"/>
          <w:color w:val="000000"/>
          <w:sz w:val="24"/>
          <w:szCs w:val="24"/>
          <w:lang w:eastAsia="pl-PL"/>
        </w:rPr>
        <w:t>zwalidowana</w:t>
      </w:r>
      <w:proofErr w:type="spellEnd"/>
      <w:r w:rsidRPr="00E00515">
        <w:rPr>
          <w:rFonts w:ascii="Times New Roman" w:eastAsia="Times New Roman" w:hAnsi="Times New Roman"/>
          <w:color w:val="000000"/>
          <w:sz w:val="24"/>
          <w:szCs w:val="24"/>
          <w:lang w:eastAsia="pl-PL"/>
        </w:rPr>
        <w:t xml:space="preserve"> do testów </w:t>
      </w:r>
      <w:proofErr w:type="spellStart"/>
      <w:r w:rsidRPr="00E00515">
        <w:rPr>
          <w:rFonts w:ascii="Times New Roman" w:eastAsia="Times New Roman" w:hAnsi="Times New Roman"/>
          <w:color w:val="000000"/>
          <w:sz w:val="24"/>
          <w:szCs w:val="24"/>
          <w:lang w:eastAsia="pl-PL"/>
        </w:rPr>
        <w:t>PCR-SSP</w:t>
      </w:r>
      <w:proofErr w:type="spellEnd"/>
      <w:r w:rsidRPr="00E00515">
        <w:rPr>
          <w:rFonts w:ascii="Times New Roman" w:eastAsia="Times New Roman" w:hAnsi="Times New Roman"/>
          <w:color w:val="000000"/>
          <w:sz w:val="24"/>
          <w:szCs w:val="24"/>
          <w:lang w:eastAsia="pl-PL"/>
        </w:rPr>
        <w:t xml:space="preserve">, które oferuje producent, </w:t>
      </w:r>
      <w:proofErr w:type="spellStart"/>
      <w:r w:rsidRPr="00E00515">
        <w:rPr>
          <w:rFonts w:ascii="Times New Roman" w:eastAsia="Times New Roman" w:hAnsi="Times New Roman"/>
          <w:color w:val="000000"/>
          <w:sz w:val="24"/>
          <w:szCs w:val="24"/>
          <w:lang w:eastAsia="pl-PL"/>
        </w:rPr>
        <w:t>wymaganestosowne</w:t>
      </w:r>
      <w:proofErr w:type="spellEnd"/>
      <w:r w:rsidRPr="00E00515">
        <w:rPr>
          <w:rFonts w:ascii="Times New Roman" w:eastAsia="Times New Roman" w:hAnsi="Times New Roman"/>
          <w:color w:val="000000"/>
          <w:sz w:val="24"/>
          <w:szCs w:val="24"/>
          <w:lang w:eastAsia="pl-PL"/>
        </w:rPr>
        <w:t xml:space="preserve"> oświadczenie producenta testów genetycznych</w:t>
      </w:r>
    </w:p>
    <w:p w:rsidR="00B25A94" w:rsidRDefault="00B25A94" w:rsidP="00B25A94">
      <w:pPr>
        <w:spacing w:after="0" w:line="240" w:lineRule="auto"/>
        <w:ind w:left="360"/>
        <w:jc w:val="both"/>
        <w:rPr>
          <w:rFonts w:ascii="Arial" w:eastAsia="Times New Roman" w:hAnsi="Arial" w:cs="Arial"/>
          <w:color w:val="000000"/>
          <w:sz w:val="21"/>
          <w:szCs w:val="21"/>
          <w:lang w:eastAsia="pl-PL"/>
        </w:rPr>
      </w:pPr>
      <w:r w:rsidRPr="00C034F0">
        <w:rPr>
          <w:rFonts w:ascii="Arial" w:eastAsia="Times New Roman" w:hAnsi="Arial" w:cs="Arial"/>
          <w:color w:val="000000"/>
          <w:sz w:val="21"/>
          <w:szCs w:val="21"/>
          <w:lang w:eastAsia="pl-PL"/>
        </w:rPr>
        <w:t> </w:t>
      </w:r>
    </w:p>
    <w:p w:rsidR="00B25A94" w:rsidRDefault="00B25A94" w:rsidP="00B25A94">
      <w:pPr>
        <w:spacing w:after="0" w:line="240" w:lineRule="auto"/>
        <w:ind w:left="36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Dotyczy pkt. 11</w:t>
      </w:r>
    </w:p>
    <w:p w:rsidR="00B25A94" w:rsidRPr="00204779" w:rsidRDefault="00B25A94" w:rsidP="00B25A94">
      <w:pPr>
        <w:spacing w:after="0" w:line="240" w:lineRule="auto"/>
        <w:jc w:val="both"/>
        <w:rPr>
          <w:rFonts w:ascii="Times New Roman" w:eastAsia="Times New Roman" w:hAnsi="Times New Roman"/>
          <w:b/>
          <w:color w:val="000000"/>
          <w:sz w:val="24"/>
          <w:szCs w:val="24"/>
          <w:lang w:eastAsia="pl-PL"/>
        </w:rPr>
      </w:pPr>
    </w:p>
    <w:p w:rsidR="00B25A94" w:rsidRPr="00C034F0" w:rsidRDefault="00B25A94" w:rsidP="00B25A94">
      <w:pPr>
        <w:spacing w:after="0" w:line="240" w:lineRule="auto"/>
        <w:rPr>
          <w:rFonts w:eastAsia="Times New Roman"/>
          <w:color w:val="000000"/>
          <w:lang w:eastAsia="pl-PL"/>
        </w:rPr>
      </w:pPr>
      <w:r w:rsidRPr="00C034F0">
        <w:rPr>
          <w:rFonts w:ascii="Times New Roman" w:eastAsia="Times New Roman" w:hAnsi="Times New Roman"/>
          <w:b/>
          <w:bCs/>
          <w:color w:val="C10000"/>
          <w:sz w:val="24"/>
          <w:szCs w:val="24"/>
          <w:lang w:eastAsia="pl-PL"/>
        </w:rPr>
        <w:t>Zestawy do typowania antygenów zgodno</w:t>
      </w:r>
      <w:r w:rsidRPr="00C034F0">
        <w:rPr>
          <w:rFonts w:eastAsia="Times New Roman"/>
          <w:b/>
          <w:bCs/>
          <w:color w:val="C10000"/>
          <w:sz w:val="24"/>
          <w:szCs w:val="24"/>
          <w:lang w:eastAsia="pl-PL"/>
        </w:rPr>
        <w:t>ś</w:t>
      </w:r>
      <w:r w:rsidRPr="00C034F0">
        <w:rPr>
          <w:rFonts w:ascii="Times New Roman" w:eastAsia="Times New Roman" w:hAnsi="Times New Roman"/>
          <w:b/>
          <w:bCs/>
          <w:color w:val="C10000"/>
          <w:sz w:val="24"/>
          <w:szCs w:val="24"/>
          <w:lang w:eastAsia="pl-PL"/>
        </w:rPr>
        <w:t>ci tkankowej – metodami serologicznymi</w:t>
      </w:r>
    </w:p>
    <w:p w:rsidR="00B25A94" w:rsidRPr="00F37CA5" w:rsidRDefault="00B25A94" w:rsidP="00B25A94">
      <w:pPr>
        <w:pStyle w:val="Akapitzlist"/>
        <w:numPr>
          <w:ilvl w:val="0"/>
          <w:numId w:val="2"/>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K</w:t>
      </w:r>
      <w:r w:rsidRPr="00F37CA5">
        <w:rPr>
          <w:rFonts w:ascii="Times New Roman" w:eastAsia="Times New Roman" w:hAnsi="Times New Roman"/>
          <w:color w:val="000000"/>
          <w:sz w:val="24"/>
          <w:szCs w:val="24"/>
          <w:lang w:eastAsia="pl-PL"/>
        </w:rPr>
        <w:t>ontrola pozytywna i negatywna powinna być</w:t>
      </w:r>
      <w:r w:rsidRPr="00F37CA5">
        <w:rPr>
          <w:rFonts w:ascii="TimesNewRoman" w:eastAsia="Times New Roman" w:hAnsi="TimesNewRoman"/>
          <w:color w:val="000000"/>
          <w:sz w:val="24"/>
          <w:szCs w:val="24"/>
          <w:lang w:eastAsia="pl-PL"/>
        </w:rPr>
        <w:t> </w:t>
      </w:r>
      <w:r w:rsidRPr="00F37CA5">
        <w:rPr>
          <w:rFonts w:ascii="Times New Roman" w:eastAsia="Times New Roman" w:hAnsi="Times New Roman"/>
          <w:color w:val="000000"/>
          <w:sz w:val="24"/>
          <w:szCs w:val="24"/>
          <w:lang w:eastAsia="pl-PL"/>
        </w:rPr>
        <w:t>zawarta w panelu do oznaczeń</w:t>
      </w:r>
      <w:r w:rsidRPr="00F37CA5">
        <w:rPr>
          <w:rFonts w:ascii="TimesNewRoman" w:eastAsia="Times New Roman" w:hAnsi="TimesNewRoman"/>
          <w:color w:val="000000"/>
          <w:sz w:val="24"/>
          <w:szCs w:val="24"/>
          <w:lang w:eastAsia="pl-PL"/>
        </w:rPr>
        <w:t> </w:t>
      </w:r>
      <w:r w:rsidRPr="00F37CA5">
        <w:rPr>
          <w:rFonts w:ascii="Times New Roman" w:eastAsia="Times New Roman" w:hAnsi="Times New Roman"/>
          <w:color w:val="000000"/>
          <w:sz w:val="24"/>
          <w:szCs w:val="24"/>
          <w:lang w:eastAsia="pl-PL"/>
        </w:rPr>
        <w:t xml:space="preserve">– </w:t>
      </w:r>
      <w:proofErr w:type="spellStart"/>
      <w:r w:rsidRPr="00F37CA5">
        <w:rPr>
          <w:rFonts w:ascii="Times New Roman" w:eastAsia="Times New Roman" w:hAnsi="Times New Roman"/>
          <w:color w:val="000000"/>
          <w:sz w:val="24"/>
          <w:szCs w:val="24"/>
          <w:lang w:eastAsia="pl-PL"/>
        </w:rPr>
        <w:t>bezkonieczności</w:t>
      </w:r>
      <w:proofErr w:type="spellEnd"/>
      <w:r w:rsidRPr="00F37CA5">
        <w:rPr>
          <w:rFonts w:ascii="Times New Roman" w:eastAsia="Times New Roman" w:hAnsi="Times New Roman"/>
          <w:color w:val="000000"/>
          <w:sz w:val="24"/>
          <w:szCs w:val="24"/>
          <w:lang w:eastAsia="pl-PL"/>
        </w:rPr>
        <w:t xml:space="preserve"> dostawiania dodatkowych reakcji</w:t>
      </w:r>
    </w:p>
    <w:p w:rsidR="00B25A94" w:rsidRPr="00F37CA5" w:rsidRDefault="00B25A94" w:rsidP="00B25A94">
      <w:pPr>
        <w:pStyle w:val="Akapitzlist"/>
        <w:numPr>
          <w:ilvl w:val="0"/>
          <w:numId w:val="2"/>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P</w:t>
      </w:r>
      <w:r w:rsidRPr="00F37CA5">
        <w:rPr>
          <w:rFonts w:ascii="Times New Roman" w:eastAsia="Times New Roman" w:hAnsi="Times New Roman"/>
          <w:color w:val="000000"/>
          <w:sz w:val="24"/>
          <w:szCs w:val="24"/>
          <w:lang w:eastAsia="pl-PL"/>
        </w:rPr>
        <w:t xml:space="preserve">anel surowic </w:t>
      </w:r>
      <w:proofErr w:type="spellStart"/>
      <w:r w:rsidRPr="00F37CA5">
        <w:rPr>
          <w:rFonts w:ascii="Times New Roman" w:eastAsia="Times New Roman" w:hAnsi="Times New Roman"/>
          <w:color w:val="000000"/>
          <w:sz w:val="24"/>
          <w:szCs w:val="24"/>
          <w:lang w:eastAsia="pl-PL"/>
        </w:rPr>
        <w:t>anty-HLA</w:t>
      </w:r>
      <w:proofErr w:type="spellEnd"/>
      <w:r w:rsidRPr="00F37CA5">
        <w:rPr>
          <w:rFonts w:ascii="Times New Roman" w:eastAsia="Times New Roman" w:hAnsi="Times New Roman"/>
          <w:color w:val="000000"/>
          <w:sz w:val="24"/>
          <w:szCs w:val="24"/>
          <w:lang w:eastAsia="pl-PL"/>
        </w:rPr>
        <w:t xml:space="preserve"> powinien być</w:t>
      </w:r>
      <w:r w:rsidRPr="00F37CA5">
        <w:rPr>
          <w:rFonts w:ascii="TimesNewRoman" w:eastAsia="Times New Roman" w:hAnsi="TimesNewRoman"/>
          <w:color w:val="000000"/>
          <w:sz w:val="24"/>
          <w:szCs w:val="24"/>
          <w:lang w:eastAsia="pl-PL"/>
        </w:rPr>
        <w:t> </w:t>
      </w:r>
      <w:r w:rsidRPr="00F37CA5">
        <w:rPr>
          <w:rFonts w:ascii="Times New Roman" w:eastAsia="Times New Roman" w:hAnsi="Times New Roman"/>
          <w:color w:val="000000"/>
          <w:sz w:val="24"/>
          <w:szCs w:val="24"/>
          <w:lang w:eastAsia="pl-PL"/>
        </w:rPr>
        <w:t>zawarty na 120 dołkach (2 płytki po 60studzienek)</w:t>
      </w:r>
    </w:p>
    <w:p w:rsidR="00B25A94" w:rsidRPr="00F37CA5" w:rsidRDefault="00B25A94" w:rsidP="00B25A94">
      <w:pPr>
        <w:pStyle w:val="Akapitzlist"/>
        <w:numPr>
          <w:ilvl w:val="0"/>
          <w:numId w:val="2"/>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D</w:t>
      </w:r>
      <w:r w:rsidRPr="00F37CA5">
        <w:rPr>
          <w:rFonts w:ascii="Times New Roman" w:eastAsia="Times New Roman" w:hAnsi="Times New Roman"/>
          <w:color w:val="000000"/>
          <w:sz w:val="24"/>
          <w:szCs w:val="24"/>
          <w:lang w:eastAsia="pl-PL"/>
        </w:rPr>
        <w:t xml:space="preserve">opełniacz króliczy liofilizowany niezbędny do przeprowadzenia reakcji dołączony do zestawu </w:t>
      </w:r>
    </w:p>
    <w:p w:rsidR="00B25A94" w:rsidRPr="00F37CA5" w:rsidRDefault="00B25A94" w:rsidP="00B25A94">
      <w:pPr>
        <w:pStyle w:val="Akapitzlist"/>
        <w:numPr>
          <w:ilvl w:val="0"/>
          <w:numId w:val="2"/>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C</w:t>
      </w:r>
      <w:r w:rsidRPr="00F37CA5">
        <w:rPr>
          <w:rFonts w:ascii="Times New Roman" w:eastAsia="Times New Roman" w:hAnsi="Times New Roman"/>
          <w:color w:val="000000"/>
          <w:sz w:val="24"/>
          <w:szCs w:val="24"/>
          <w:lang w:eastAsia="pl-PL"/>
        </w:rPr>
        <w:t xml:space="preserve">ertyfikat </w:t>
      </w:r>
      <w:proofErr w:type="spellStart"/>
      <w:r w:rsidRPr="00F37CA5">
        <w:rPr>
          <w:rFonts w:ascii="Times New Roman" w:eastAsia="Times New Roman" w:hAnsi="Times New Roman"/>
          <w:color w:val="000000"/>
          <w:sz w:val="24"/>
          <w:szCs w:val="24"/>
          <w:lang w:eastAsia="pl-PL"/>
        </w:rPr>
        <w:t>CE</w:t>
      </w:r>
      <w:r>
        <w:rPr>
          <w:rFonts w:ascii="Times New Roman" w:eastAsia="Times New Roman" w:hAnsi="Times New Roman"/>
          <w:color w:val="000000"/>
          <w:sz w:val="24"/>
          <w:szCs w:val="24"/>
          <w:lang w:eastAsia="pl-PL"/>
        </w:rPr>
        <w:t>-</w:t>
      </w:r>
      <w:r w:rsidRPr="00F37CA5">
        <w:rPr>
          <w:rFonts w:ascii="Times New Roman" w:eastAsia="Times New Roman" w:hAnsi="Times New Roman"/>
          <w:color w:val="000000"/>
          <w:sz w:val="24"/>
          <w:szCs w:val="24"/>
          <w:lang w:eastAsia="pl-PL"/>
        </w:rPr>
        <w:t>IVD</w:t>
      </w:r>
      <w:proofErr w:type="spellEnd"/>
      <w:r w:rsidRPr="00F37CA5">
        <w:rPr>
          <w:rFonts w:ascii="Times New Roman" w:eastAsia="Times New Roman" w:hAnsi="Times New Roman"/>
          <w:color w:val="000000"/>
          <w:sz w:val="24"/>
          <w:szCs w:val="24"/>
          <w:lang w:eastAsia="pl-PL"/>
        </w:rPr>
        <w:t xml:space="preserve"> dla zestawów do typowania serologicznego antygenów HLA</w:t>
      </w:r>
    </w:p>
    <w:p w:rsidR="00B25A94" w:rsidRPr="00F37CA5" w:rsidRDefault="00B25A94" w:rsidP="00B25A94">
      <w:pPr>
        <w:pStyle w:val="Akapitzlist"/>
        <w:numPr>
          <w:ilvl w:val="0"/>
          <w:numId w:val="2"/>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lastRenderedPageBreak/>
        <w:t>W</w:t>
      </w:r>
      <w:r w:rsidRPr="00F37CA5">
        <w:rPr>
          <w:rFonts w:ascii="Times New Roman" w:eastAsia="Times New Roman" w:hAnsi="Times New Roman"/>
          <w:color w:val="000000"/>
          <w:sz w:val="24"/>
          <w:szCs w:val="24"/>
          <w:lang w:eastAsia="pl-PL"/>
        </w:rPr>
        <w:t xml:space="preserve">yniki uzyskiwane przy użyciu oferowanych odczynników powinny </w:t>
      </w:r>
      <w:proofErr w:type="spellStart"/>
      <w:r w:rsidRPr="00F37CA5">
        <w:rPr>
          <w:rFonts w:ascii="Times New Roman" w:eastAsia="Times New Roman" w:hAnsi="Times New Roman"/>
          <w:color w:val="000000"/>
          <w:sz w:val="24"/>
          <w:szCs w:val="24"/>
          <w:lang w:eastAsia="pl-PL"/>
        </w:rPr>
        <w:t>spełniaćkryteria</w:t>
      </w:r>
      <w:proofErr w:type="spellEnd"/>
      <w:r w:rsidRPr="00F37CA5">
        <w:rPr>
          <w:rFonts w:ascii="Times New Roman" w:eastAsia="Times New Roman" w:hAnsi="Times New Roman"/>
          <w:color w:val="000000"/>
          <w:sz w:val="24"/>
          <w:szCs w:val="24"/>
          <w:lang w:eastAsia="pl-PL"/>
        </w:rPr>
        <w:t xml:space="preserve"> EFI (Europejskiej Federacji Immunogenetyki)</w:t>
      </w:r>
    </w:p>
    <w:p w:rsidR="00B25A94" w:rsidRPr="00F37CA5" w:rsidRDefault="00B25A94" w:rsidP="00B25A94">
      <w:pPr>
        <w:pStyle w:val="Akapitzlist"/>
        <w:numPr>
          <w:ilvl w:val="0"/>
          <w:numId w:val="2"/>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P</w:t>
      </w:r>
      <w:r w:rsidRPr="00F37CA5">
        <w:rPr>
          <w:rFonts w:ascii="Times New Roman" w:eastAsia="Times New Roman" w:hAnsi="Times New Roman"/>
          <w:color w:val="000000"/>
          <w:sz w:val="24"/>
          <w:szCs w:val="24"/>
          <w:lang w:eastAsia="pl-PL"/>
        </w:rPr>
        <w:t>rzechowywanie odczynników w temp. -20</w:t>
      </w:r>
      <w:r>
        <w:rPr>
          <w:rFonts w:ascii="Times New Roman" w:eastAsia="Times New Roman" w:hAnsi="Times New Roman"/>
          <w:color w:val="000000"/>
          <w:sz w:val="24"/>
          <w:szCs w:val="24"/>
          <w:lang w:eastAsia="pl-PL"/>
        </w:rPr>
        <w:t>˚</w:t>
      </w:r>
      <w:r w:rsidRPr="00F37CA5">
        <w:rPr>
          <w:rFonts w:ascii="Times New Roman" w:eastAsia="Times New Roman" w:hAnsi="Times New Roman"/>
          <w:color w:val="000000"/>
          <w:sz w:val="24"/>
          <w:szCs w:val="24"/>
          <w:lang w:eastAsia="pl-PL"/>
        </w:rPr>
        <w:t xml:space="preserve"> do -30</w:t>
      </w:r>
      <w:r>
        <w:rPr>
          <w:rFonts w:ascii="Times New Roman" w:eastAsia="Times New Roman" w:hAnsi="Times New Roman"/>
          <w:color w:val="000000"/>
          <w:sz w:val="24"/>
          <w:szCs w:val="24"/>
          <w:lang w:eastAsia="pl-PL"/>
        </w:rPr>
        <w:t>˚</w:t>
      </w:r>
      <w:r w:rsidRPr="00F37CA5">
        <w:rPr>
          <w:rFonts w:ascii="Times New Roman" w:eastAsia="Times New Roman" w:hAnsi="Times New Roman"/>
          <w:color w:val="000000"/>
          <w:sz w:val="24"/>
          <w:szCs w:val="24"/>
          <w:lang w:eastAsia="pl-PL"/>
        </w:rPr>
        <w:t xml:space="preserve"> C</w:t>
      </w:r>
    </w:p>
    <w:p w:rsidR="00B25A94" w:rsidRPr="00F37CA5" w:rsidRDefault="00B25A94" w:rsidP="00B25A94">
      <w:pPr>
        <w:pStyle w:val="Akapitzlist"/>
        <w:numPr>
          <w:ilvl w:val="0"/>
          <w:numId w:val="2"/>
        </w:numPr>
        <w:spacing w:after="0" w:line="240" w:lineRule="auto"/>
        <w:jc w:val="both"/>
        <w:rPr>
          <w:rFonts w:eastAsia="Times New Roman"/>
          <w:color w:val="000000"/>
          <w:lang w:eastAsia="pl-PL"/>
        </w:rPr>
      </w:pPr>
      <w:r>
        <w:rPr>
          <w:rFonts w:ascii="Times New Roman" w:eastAsia="Times New Roman" w:hAnsi="Times New Roman"/>
          <w:color w:val="000000"/>
          <w:sz w:val="24"/>
          <w:szCs w:val="24"/>
          <w:lang w:eastAsia="pl-PL"/>
        </w:rPr>
        <w:t>T</w:t>
      </w:r>
      <w:r w:rsidRPr="00F37CA5">
        <w:rPr>
          <w:rFonts w:ascii="Times New Roman" w:eastAsia="Times New Roman" w:hAnsi="Times New Roman"/>
          <w:color w:val="000000"/>
          <w:sz w:val="24"/>
          <w:szCs w:val="24"/>
          <w:lang w:eastAsia="pl-PL"/>
        </w:rPr>
        <w:t xml:space="preserve">ermin ważności oferowanego towaru w dniu dostawy - min. 12 </w:t>
      </w:r>
      <w:proofErr w:type="spellStart"/>
      <w:r w:rsidRPr="00F37CA5">
        <w:rPr>
          <w:rFonts w:ascii="Times New Roman" w:eastAsia="Times New Roman" w:hAnsi="Times New Roman"/>
          <w:color w:val="000000"/>
          <w:sz w:val="24"/>
          <w:szCs w:val="24"/>
          <w:lang w:eastAsia="pl-PL"/>
        </w:rPr>
        <w:t>m-cy</w:t>
      </w:r>
      <w:proofErr w:type="spellEnd"/>
    </w:p>
    <w:p w:rsidR="00B25A94" w:rsidRDefault="00B25A94" w:rsidP="00B25A94">
      <w:pPr>
        <w:spacing w:after="0" w:line="240" w:lineRule="auto"/>
        <w:ind w:left="360"/>
        <w:jc w:val="both"/>
        <w:rPr>
          <w:rFonts w:ascii="Arial" w:eastAsia="Times New Roman" w:hAnsi="Arial" w:cs="Arial"/>
          <w:color w:val="000000"/>
          <w:sz w:val="21"/>
          <w:szCs w:val="21"/>
          <w:lang w:eastAsia="pl-PL"/>
        </w:rPr>
      </w:pPr>
      <w:r w:rsidRPr="00C034F0">
        <w:rPr>
          <w:rFonts w:ascii="Arial" w:eastAsia="Times New Roman" w:hAnsi="Arial" w:cs="Arial"/>
          <w:color w:val="000000"/>
          <w:sz w:val="21"/>
          <w:szCs w:val="21"/>
          <w:lang w:eastAsia="pl-PL"/>
        </w:rPr>
        <w:t> </w:t>
      </w:r>
    </w:p>
    <w:p w:rsidR="00B25A94" w:rsidRPr="00204779" w:rsidRDefault="00B25A94" w:rsidP="00B25A94">
      <w:pPr>
        <w:spacing w:after="0" w:line="240" w:lineRule="auto"/>
        <w:ind w:left="360"/>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Dotyczy pkt. 13</w:t>
      </w:r>
    </w:p>
    <w:p w:rsidR="00F91921" w:rsidRDefault="00F91921" w:rsidP="00B25A94">
      <w:pPr>
        <w:spacing w:after="0" w:line="240" w:lineRule="auto"/>
        <w:rPr>
          <w:rFonts w:ascii="Times New Roman" w:eastAsia="Times New Roman" w:hAnsi="Times New Roman"/>
          <w:b/>
          <w:bCs/>
          <w:color w:val="C00000"/>
          <w:sz w:val="24"/>
          <w:szCs w:val="24"/>
          <w:lang w:val="en-US" w:eastAsia="pl-PL"/>
        </w:rPr>
      </w:pPr>
    </w:p>
    <w:p w:rsidR="00B25A94" w:rsidRPr="00B115FB" w:rsidRDefault="00B25A94" w:rsidP="00B25A94">
      <w:pPr>
        <w:spacing w:after="0" w:line="240" w:lineRule="auto"/>
        <w:rPr>
          <w:rFonts w:ascii="Times New Roman" w:eastAsia="Times New Roman" w:hAnsi="Times New Roman"/>
          <w:b/>
          <w:bCs/>
          <w:color w:val="C00000"/>
          <w:sz w:val="24"/>
          <w:szCs w:val="24"/>
          <w:lang w:val="en-US" w:eastAsia="pl-PL"/>
        </w:rPr>
      </w:pPr>
      <w:r w:rsidRPr="00B15FCE">
        <w:rPr>
          <w:rFonts w:ascii="Times New Roman" w:eastAsia="Times New Roman" w:hAnsi="Times New Roman"/>
          <w:b/>
          <w:bCs/>
          <w:color w:val="C00000"/>
          <w:sz w:val="24"/>
          <w:szCs w:val="24"/>
          <w:lang w:val="en-US" w:eastAsia="pl-PL"/>
        </w:rPr>
        <w:t>HLA Ready Plate ABC Complement</w:t>
      </w:r>
    </w:p>
    <w:p w:rsidR="00B25A94" w:rsidRPr="00B15FCE" w:rsidRDefault="00B25A94" w:rsidP="00B25A94">
      <w:pPr>
        <w:pStyle w:val="Akapitzlist"/>
        <w:numPr>
          <w:ilvl w:val="0"/>
          <w:numId w:val="6"/>
        </w:numPr>
        <w:spacing w:after="0" w:line="240" w:lineRule="auto"/>
        <w:rPr>
          <w:rFonts w:eastAsia="Times New Roman"/>
          <w:color w:val="000000"/>
          <w:lang w:eastAsia="pl-PL"/>
        </w:rPr>
      </w:pPr>
      <w:r w:rsidRPr="00B15FCE">
        <w:rPr>
          <w:rFonts w:ascii="Times New Roman" w:eastAsia="Times New Roman" w:hAnsi="Times New Roman"/>
          <w:color w:val="000000"/>
          <w:sz w:val="24"/>
          <w:szCs w:val="24"/>
          <w:lang w:eastAsia="pl-PL"/>
        </w:rPr>
        <w:t>Płytki testowe do sprawdzenia aktywności dopełniacza teście limfocytotoksycznym według rekomendacji EFI</w:t>
      </w:r>
    </w:p>
    <w:p w:rsidR="00B25A94" w:rsidRPr="00B15FCE" w:rsidRDefault="00B25A94" w:rsidP="00B25A94">
      <w:pPr>
        <w:pStyle w:val="Akapitzlist"/>
        <w:numPr>
          <w:ilvl w:val="0"/>
          <w:numId w:val="6"/>
        </w:numPr>
        <w:spacing w:after="0" w:line="240" w:lineRule="auto"/>
        <w:rPr>
          <w:rFonts w:eastAsia="Times New Roman"/>
          <w:color w:val="000000"/>
          <w:lang w:eastAsia="pl-PL"/>
        </w:rPr>
      </w:pPr>
      <w:r w:rsidRPr="00B15FCE">
        <w:rPr>
          <w:rFonts w:ascii="Times New Roman" w:eastAsia="Times New Roman" w:hAnsi="Times New Roman"/>
          <w:color w:val="000000"/>
          <w:sz w:val="24"/>
          <w:szCs w:val="24"/>
          <w:lang w:eastAsia="pl-PL"/>
        </w:rPr>
        <w:t>1 test zawiera 3 surowice w seryjnych rozcieńczeniach oraz kontrolę pozytywną i negatywną</w:t>
      </w:r>
    </w:p>
    <w:p w:rsidR="00B25A94" w:rsidRPr="00B15FCE" w:rsidRDefault="00B25A94" w:rsidP="00B25A94">
      <w:pPr>
        <w:pStyle w:val="Akapitzlist"/>
        <w:numPr>
          <w:ilvl w:val="0"/>
          <w:numId w:val="6"/>
        </w:numPr>
        <w:spacing w:after="0" w:line="240" w:lineRule="auto"/>
        <w:rPr>
          <w:rFonts w:eastAsia="Times New Roman"/>
          <w:color w:val="000000"/>
          <w:lang w:eastAsia="pl-PL"/>
        </w:rPr>
      </w:pPr>
      <w:r>
        <w:rPr>
          <w:rFonts w:ascii="Times New Roman" w:eastAsia="Times New Roman" w:hAnsi="Times New Roman"/>
          <w:color w:val="000000"/>
          <w:sz w:val="24"/>
          <w:szCs w:val="24"/>
          <w:lang w:eastAsia="pl-PL"/>
        </w:rPr>
        <w:t>1 opakowanie zawiera:  5 oznaczeń oraz komplementem króliczy liofilizowany</w:t>
      </w:r>
    </w:p>
    <w:p w:rsidR="00B25A94" w:rsidRPr="00B15FCE" w:rsidRDefault="00B25A94" w:rsidP="00B25A94">
      <w:pPr>
        <w:pStyle w:val="Akapitzlist"/>
        <w:numPr>
          <w:ilvl w:val="0"/>
          <w:numId w:val="6"/>
        </w:numPr>
        <w:spacing w:after="0" w:line="240" w:lineRule="auto"/>
        <w:rPr>
          <w:rFonts w:eastAsia="Times New Roman"/>
          <w:color w:val="000000"/>
          <w:lang w:eastAsia="pl-PL"/>
        </w:rPr>
      </w:pPr>
      <w:r w:rsidRPr="00B15FCE">
        <w:rPr>
          <w:rFonts w:ascii="Times New Roman" w:eastAsia="Times New Roman" w:hAnsi="Times New Roman"/>
          <w:color w:val="000000"/>
          <w:sz w:val="24"/>
          <w:szCs w:val="24"/>
          <w:lang w:eastAsia="pl-PL"/>
        </w:rPr>
        <w:t>Przechowywanie: w temperaturze - 20ºC</w:t>
      </w:r>
    </w:p>
    <w:p w:rsidR="00B25A94" w:rsidRPr="00B15FCE" w:rsidRDefault="00B25A94" w:rsidP="00B25A94">
      <w:pPr>
        <w:pStyle w:val="Akapitzlist"/>
        <w:numPr>
          <w:ilvl w:val="0"/>
          <w:numId w:val="6"/>
        </w:numPr>
        <w:spacing w:after="0" w:line="240" w:lineRule="auto"/>
        <w:rPr>
          <w:rFonts w:eastAsia="Times New Roman"/>
          <w:color w:val="000000"/>
          <w:lang w:eastAsia="pl-PL"/>
        </w:rPr>
      </w:pPr>
      <w:r w:rsidRPr="00B15FCE">
        <w:rPr>
          <w:rFonts w:ascii="Times New Roman" w:eastAsia="Times New Roman" w:hAnsi="Times New Roman"/>
          <w:color w:val="000000"/>
          <w:sz w:val="24"/>
          <w:szCs w:val="24"/>
          <w:lang w:eastAsia="pl-PL"/>
        </w:rPr>
        <w:t xml:space="preserve">Zestaw posiada znak </w:t>
      </w:r>
      <w:proofErr w:type="spellStart"/>
      <w:r w:rsidRPr="00B15FCE">
        <w:rPr>
          <w:rFonts w:ascii="Times New Roman" w:eastAsia="Times New Roman" w:hAnsi="Times New Roman"/>
          <w:color w:val="000000"/>
          <w:sz w:val="24"/>
          <w:szCs w:val="24"/>
          <w:lang w:eastAsia="pl-PL"/>
        </w:rPr>
        <w:t>CE-IVD</w:t>
      </w:r>
      <w:proofErr w:type="spellEnd"/>
    </w:p>
    <w:p w:rsidR="00B25A94" w:rsidRPr="00B15FCE" w:rsidRDefault="00B25A94" w:rsidP="00B25A94">
      <w:pPr>
        <w:pStyle w:val="Akapitzlist"/>
        <w:numPr>
          <w:ilvl w:val="0"/>
          <w:numId w:val="6"/>
        </w:numPr>
        <w:spacing w:after="0" w:line="240" w:lineRule="auto"/>
        <w:rPr>
          <w:rFonts w:eastAsia="Times New Roman"/>
          <w:color w:val="000000"/>
          <w:lang w:eastAsia="pl-PL"/>
        </w:rPr>
      </w:pPr>
      <w:r>
        <w:rPr>
          <w:rFonts w:ascii="Times New Roman" w:eastAsia="Times New Roman" w:hAnsi="Times New Roman"/>
          <w:color w:val="000000"/>
          <w:sz w:val="24"/>
          <w:szCs w:val="24"/>
          <w:lang w:eastAsia="pl-PL"/>
        </w:rPr>
        <w:t>Termin ważności</w:t>
      </w:r>
      <w:r w:rsidRPr="00B15FCE">
        <w:rPr>
          <w:rFonts w:ascii="Times New Roman" w:eastAsia="Times New Roman" w:hAnsi="Times New Roman"/>
          <w:color w:val="000000"/>
          <w:sz w:val="24"/>
          <w:szCs w:val="24"/>
          <w:lang w:eastAsia="pl-PL"/>
        </w:rPr>
        <w:t>: 10 miesięcy od daty dostawy</w:t>
      </w:r>
    </w:p>
    <w:p w:rsidR="00B25A94" w:rsidRDefault="00B25A94" w:rsidP="00B25A94">
      <w:pPr>
        <w:pStyle w:val="Akapitzlist"/>
        <w:spacing w:after="0" w:line="240" w:lineRule="auto"/>
        <w:jc w:val="both"/>
        <w:rPr>
          <w:rFonts w:ascii="Times New Roman" w:eastAsia="Times New Roman" w:hAnsi="Times New Roman"/>
          <w:b/>
          <w:color w:val="000000"/>
          <w:sz w:val="24"/>
          <w:szCs w:val="24"/>
          <w:lang w:eastAsia="pl-PL"/>
        </w:rPr>
      </w:pPr>
    </w:p>
    <w:p w:rsidR="00B25A94" w:rsidRDefault="00B25A94" w:rsidP="00B25A94">
      <w:pPr>
        <w:pStyle w:val="Akapitzlist"/>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Dotyczy pkt. 14</w:t>
      </w:r>
    </w:p>
    <w:p w:rsidR="00B25A94" w:rsidRPr="00B25A94" w:rsidRDefault="00B25A94" w:rsidP="00B25A94">
      <w:pPr>
        <w:spacing w:after="0" w:line="240" w:lineRule="auto"/>
        <w:jc w:val="both"/>
        <w:rPr>
          <w:rFonts w:ascii="Times New Roman" w:eastAsia="Times New Roman" w:hAnsi="Times New Roman"/>
          <w:b/>
          <w:color w:val="000000"/>
          <w:sz w:val="24"/>
          <w:szCs w:val="24"/>
          <w:lang w:eastAsia="pl-PL"/>
        </w:rPr>
      </w:pPr>
    </w:p>
    <w:p w:rsidR="00B25A94" w:rsidRPr="00C034F0" w:rsidRDefault="00B25A94" w:rsidP="00B25A94">
      <w:pPr>
        <w:spacing w:after="0" w:line="240" w:lineRule="auto"/>
        <w:jc w:val="both"/>
        <w:rPr>
          <w:rFonts w:eastAsia="Times New Roman"/>
          <w:color w:val="000000"/>
          <w:lang w:val="en-US" w:eastAsia="pl-PL"/>
        </w:rPr>
      </w:pPr>
      <w:r>
        <w:rPr>
          <w:rFonts w:ascii="Times New Roman" w:eastAsia="Times New Roman" w:hAnsi="Times New Roman"/>
          <w:b/>
          <w:bCs/>
          <w:color w:val="C00000"/>
          <w:sz w:val="24"/>
          <w:szCs w:val="24"/>
          <w:lang w:val="en-US" w:eastAsia="pl-PL"/>
        </w:rPr>
        <w:t xml:space="preserve">Marker </w:t>
      </w:r>
      <w:proofErr w:type="spellStart"/>
      <w:r>
        <w:rPr>
          <w:rFonts w:ascii="Times New Roman" w:eastAsia="Times New Roman" w:hAnsi="Times New Roman"/>
          <w:b/>
          <w:bCs/>
          <w:color w:val="C00000"/>
          <w:sz w:val="24"/>
          <w:szCs w:val="24"/>
          <w:lang w:val="en-US" w:eastAsia="pl-PL"/>
        </w:rPr>
        <w:t>m</w:t>
      </w:r>
      <w:r w:rsidRPr="00C034F0">
        <w:rPr>
          <w:rFonts w:ascii="Times New Roman" w:eastAsia="Times New Roman" w:hAnsi="Times New Roman"/>
          <w:b/>
          <w:bCs/>
          <w:color w:val="C00000"/>
          <w:sz w:val="24"/>
          <w:szCs w:val="24"/>
          <w:lang w:val="en-US" w:eastAsia="pl-PL"/>
        </w:rPr>
        <w:t>asy</w:t>
      </w:r>
      <w:proofErr w:type="spellEnd"/>
    </w:p>
    <w:p w:rsidR="00B25A94" w:rsidRPr="00CD1B9D" w:rsidRDefault="00B25A94" w:rsidP="00B25A94">
      <w:pPr>
        <w:pStyle w:val="Akapitzlist"/>
        <w:numPr>
          <w:ilvl w:val="0"/>
          <w:numId w:val="5"/>
        </w:numPr>
        <w:spacing w:after="0" w:line="240" w:lineRule="auto"/>
        <w:jc w:val="both"/>
        <w:rPr>
          <w:rFonts w:ascii="Times New Roman" w:eastAsia="Times New Roman" w:hAnsi="Times New Roman"/>
          <w:color w:val="000000"/>
          <w:sz w:val="24"/>
          <w:szCs w:val="24"/>
          <w:lang w:eastAsia="pl-PL"/>
        </w:rPr>
      </w:pPr>
      <w:r w:rsidRPr="00CD1B9D">
        <w:rPr>
          <w:rFonts w:ascii="Times New Roman" w:eastAsia="Times New Roman" w:hAnsi="Times New Roman"/>
          <w:color w:val="000000"/>
          <w:sz w:val="24"/>
          <w:szCs w:val="24"/>
          <w:lang w:eastAsia="pl-PL"/>
        </w:rPr>
        <w:t>Gotowy do użycia marker masy składający się z 6 prążków o następujących wielkościach: 50, 100, 200, 400, 850, 1500 bp</w:t>
      </w:r>
    </w:p>
    <w:p w:rsidR="00B25A94" w:rsidRPr="00CD1B9D" w:rsidRDefault="00B25A94" w:rsidP="00B25A94">
      <w:pPr>
        <w:pStyle w:val="Akapitzlist"/>
        <w:numPr>
          <w:ilvl w:val="0"/>
          <w:numId w:val="5"/>
        </w:numPr>
        <w:spacing w:after="0" w:line="240" w:lineRule="auto"/>
        <w:jc w:val="both"/>
        <w:rPr>
          <w:rFonts w:ascii="Times New Roman" w:eastAsia="Times New Roman" w:hAnsi="Times New Roman"/>
          <w:color w:val="000000"/>
          <w:sz w:val="24"/>
          <w:szCs w:val="24"/>
          <w:lang w:eastAsia="pl-PL"/>
        </w:rPr>
      </w:pPr>
      <w:r w:rsidRPr="00CD1B9D">
        <w:rPr>
          <w:rFonts w:ascii="Times New Roman" w:eastAsia="Times New Roman" w:hAnsi="Times New Roman"/>
          <w:color w:val="000000"/>
          <w:sz w:val="24"/>
          <w:szCs w:val="24"/>
          <w:lang w:eastAsia="pl-PL"/>
        </w:rPr>
        <w:t>Stabilny do miesiąca w temperaturze pokojowej</w:t>
      </w:r>
    </w:p>
    <w:p w:rsidR="00B25A94" w:rsidRPr="00CD1B9D" w:rsidRDefault="00B25A94" w:rsidP="00B25A94">
      <w:pPr>
        <w:pStyle w:val="Akapitzlist"/>
        <w:numPr>
          <w:ilvl w:val="0"/>
          <w:numId w:val="5"/>
        </w:numPr>
        <w:rPr>
          <w:rFonts w:ascii="Times New Roman" w:hAnsi="Times New Roman"/>
          <w:b/>
          <w:sz w:val="24"/>
          <w:szCs w:val="24"/>
        </w:rPr>
      </w:pPr>
      <w:r w:rsidRPr="00CD1B9D">
        <w:rPr>
          <w:rFonts w:ascii="Times New Roman" w:hAnsi="Times New Roman"/>
          <w:sz w:val="24"/>
          <w:szCs w:val="24"/>
        </w:rPr>
        <w:t>Powinien dostarczany być w buforze z obciążnikiem do b</w:t>
      </w:r>
      <w:r>
        <w:rPr>
          <w:rFonts w:ascii="Times New Roman" w:hAnsi="Times New Roman"/>
          <w:sz w:val="24"/>
          <w:szCs w:val="24"/>
        </w:rPr>
        <w:t>ezpośredniego nakładania na żel</w:t>
      </w:r>
    </w:p>
    <w:p w:rsidR="00B25A94" w:rsidRDefault="00B25A94" w:rsidP="00B25A94">
      <w:pPr>
        <w:pStyle w:val="Akapitzlist"/>
        <w:numPr>
          <w:ilvl w:val="0"/>
          <w:numId w:val="5"/>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w:t>
      </w:r>
      <w:r w:rsidRPr="00C63842">
        <w:rPr>
          <w:rFonts w:ascii="Times New Roman" w:eastAsia="Times New Roman" w:hAnsi="Times New Roman"/>
          <w:color w:val="000000"/>
          <w:sz w:val="24"/>
          <w:szCs w:val="24"/>
          <w:lang w:eastAsia="pl-PL"/>
        </w:rPr>
        <w:t>rzechowywanie: do 6 miesięcy w temp. 2-8 ºC, powyżej 6 miesięcy – 20 ºC</w:t>
      </w:r>
    </w:p>
    <w:p w:rsidR="00B25A94" w:rsidRPr="00B15FCE" w:rsidRDefault="00B25A94" w:rsidP="00B25A94">
      <w:pPr>
        <w:pStyle w:val="Akapitzlist"/>
        <w:numPr>
          <w:ilvl w:val="0"/>
          <w:numId w:val="5"/>
        </w:numPr>
        <w:spacing w:after="0" w:line="240" w:lineRule="auto"/>
        <w:rPr>
          <w:rFonts w:eastAsia="Times New Roman"/>
          <w:color w:val="000000"/>
          <w:lang w:eastAsia="pl-PL"/>
        </w:rPr>
      </w:pPr>
      <w:r w:rsidRPr="00B15FCE">
        <w:rPr>
          <w:rFonts w:ascii="Times New Roman" w:eastAsia="Times New Roman" w:hAnsi="Times New Roman"/>
          <w:color w:val="000000"/>
          <w:sz w:val="24"/>
          <w:szCs w:val="24"/>
          <w:lang w:eastAsia="pl-PL"/>
        </w:rPr>
        <w:t>Koncentracja: 20 µg DNA/ml</w:t>
      </w:r>
    </w:p>
    <w:p w:rsidR="00B25A94" w:rsidRPr="00B15FCE" w:rsidRDefault="00B25A94" w:rsidP="00B25A94">
      <w:pPr>
        <w:pStyle w:val="Akapitzlist"/>
        <w:numPr>
          <w:ilvl w:val="0"/>
          <w:numId w:val="5"/>
        </w:numPr>
        <w:spacing w:after="0" w:line="240" w:lineRule="auto"/>
        <w:rPr>
          <w:rFonts w:eastAsia="Times New Roman"/>
          <w:color w:val="000000"/>
          <w:lang w:eastAsia="pl-PL"/>
        </w:rPr>
      </w:pPr>
      <w:r w:rsidRPr="00B15FCE">
        <w:rPr>
          <w:rFonts w:ascii="Times New Roman" w:eastAsia="Times New Roman" w:hAnsi="Times New Roman"/>
          <w:color w:val="000000"/>
          <w:sz w:val="24"/>
          <w:szCs w:val="24"/>
          <w:lang w:eastAsia="pl-PL"/>
        </w:rPr>
        <w:t>Aplikacja na dołek: 5 µl</w:t>
      </w:r>
    </w:p>
    <w:p w:rsidR="00B25A94" w:rsidRPr="00B15FCE" w:rsidRDefault="00B25A94" w:rsidP="00B25A94">
      <w:pPr>
        <w:pStyle w:val="Akapitzlist"/>
        <w:numPr>
          <w:ilvl w:val="0"/>
          <w:numId w:val="5"/>
        </w:numPr>
        <w:spacing w:after="0" w:line="240" w:lineRule="auto"/>
        <w:rPr>
          <w:rFonts w:eastAsia="Times New Roman"/>
          <w:color w:val="000000"/>
          <w:lang w:eastAsia="pl-PL"/>
        </w:rPr>
      </w:pPr>
      <w:r>
        <w:rPr>
          <w:rFonts w:ascii="Times New Roman" w:eastAsia="Times New Roman" w:hAnsi="Times New Roman"/>
          <w:color w:val="000000"/>
          <w:sz w:val="24"/>
          <w:szCs w:val="24"/>
          <w:lang w:eastAsia="pl-PL"/>
        </w:rPr>
        <w:t>Termin ważności</w:t>
      </w:r>
      <w:r w:rsidRPr="00B15FCE">
        <w:rPr>
          <w:rFonts w:ascii="Times New Roman" w:eastAsia="Times New Roman" w:hAnsi="Times New Roman"/>
          <w:color w:val="000000"/>
          <w:sz w:val="24"/>
          <w:szCs w:val="24"/>
          <w:lang w:eastAsia="pl-PL"/>
        </w:rPr>
        <w:t>: 10 miesięcy od daty dostawy</w:t>
      </w:r>
    </w:p>
    <w:p w:rsidR="00B25A94" w:rsidRDefault="00B25A94" w:rsidP="00B25A94">
      <w:pPr>
        <w:pStyle w:val="Akapitzlist"/>
        <w:spacing w:after="0" w:line="240" w:lineRule="auto"/>
        <w:jc w:val="both"/>
        <w:rPr>
          <w:rFonts w:ascii="Times New Roman" w:eastAsia="Times New Roman" w:hAnsi="Times New Roman"/>
          <w:b/>
          <w:color w:val="000000"/>
          <w:sz w:val="24"/>
          <w:szCs w:val="24"/>
          <w:lang w:eastAsia="pl-PL"/>
        </w:rPr>
      </w:pPr>
    </w:p>
    <w:p w:rsidR="00B25A94" w:rsidRDefault="00B25A94" w:rsidP="00B25A94">
      <w:pPr>
        <w:pStyle w:val="Akapitzlist"/>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Dotyczy pkt. 15</w:t>
      </w:r>
    </w:p>
    <w:p w:rsidR="00B25A94" w:rsidRPr="00B25A94" w:rsidRDefault="00B25A94" w:rsidP="00B25A94">
      <w:pPr>
        <w:spacing w:after="0" w:line="240" w:lineRule="auto"/>
        <w:jc w:val="both"/>
        <w:rPr>
          <w:rFonts w:ascii="Times New Roman" w:eastAsia="Times New Roman" w:hAnsi="Times New Roman"/>
          <w:b/>
          <w:color w:val="000000"/>
          <w:sz w:val="24"/>
          <w:szCs w:val="24"/>
          <w:lang w:eastAsia="pl-PL"/>
        </w:rPr>
      </w:pPr>
    </w:p>
    <w:p w:rsidR="00B25A94" w:rsidRPr="00C034F0" w:rsidRDefault="00B25A94" w:rsidP="00B25A94">
      <w:pPr>
        <w:spacing w:after="0" w:line="240" w:lineRule="auto"/>
        <w:rPr>
          <w:rFonts w:eastAsia="Times New Roman"/>
          <w:color w:val="000000"/>
          <w:lang w:eastAsia="pl-PL"/>
        </w:rPr>
      </w:pPr>
      <w:proofErr w:type="spellStart"/>
      <w:r>
        <w:rPr>
          <w:rFonts w:ascii="Times New Roman" w:eastAsia="Times New Roman" w:hAnsi="Times New Roman"/>
          <w:b/>
          <w:bCs/>
          <w:color w:val="C10000"/>
          <w:sz w:val="24"/>
          <w:szCs w:val="24"/>
          <w:lang w:eastAsia="pl-PL"/>
        </w:rPr>
        <w:t>Wipe</w:t>
      </w:r>
      <w:proofErr w:type="spellEnd"/>
      <w:r>
        <w:rPr>
          <w:rFonts w:ascii="Times New Roman" w:eastAsia="Times New Roman" w:hAnsi="Times New Roman"/>
          <w:b/>
          <w:bCs/>
          <w:color w:val="C10000"/>
          <w:sz w:val="24"/>
          <w:szCs w:val="24"/>
          <w:lang w:eastAsia="pl-PL"/>
        </w:rPr>
        <w:t xml:space="preserve"> test</w:t>
      </w:r>
    </w:p>
    <w:p w:rsidR="00B25A94" w:rsidRPr="00E00515" w:rsidRDefault="00B25A94" w:rsidP="00B25A94">
      <w:pPr>
        <w:pStyle w:val="Akapitzlist"/>
        <w:numPr>
          <w:ilvl w:val="0"/>
          <w:numId w:val="4"/>
        </w:numPr>
        <w:spacing w:after="0" w:line="240" w:lineRule="auto"/>
        <w:jc w:val="both"/>
        <w:rPr>
          <w:rFonts w:eastAsia="Times New Roman"/>
          <w:color w:val="000000"/>
          <w:lang w:eastAsia="pl-PL"/>
        </w:rPr>
      </w:pPr>
      <w:r w:rsidRPr="00E00515">
        <w:rPr>
          <w:rFonts w:ascii="Times New Roman" w:eastAsia="Times New Roman" w:hAnsi="Times New Roman"/>
          <w:color w:val="000000"/>
          <w:sz w:val="24"/>
          <w:szCs w:val="24"/>
          <w:lang w:eastAsia="pl-PL"/>
        </w:rPr>
        <w:t xml:space="preserve">Zestaw posiada znak </w:t>
      </w:r>
      <w:proofErr w:type="spellStart"/>
      <w:r w:rsidRPr="00E00515">
        <w:rPr>
          <w:rFonts w:ascii="Times New Roman" w:eastAsia="Times New Roman" w:hAnsi="Times New Roman"/>
          <w:color w:val="000000"/>
          <w:sz w:val="24"/>
          <w:szCs w:val="24"/>
          <w:lang w:eastAsia="pl-PL"/>
        </w:rPr>
        <w:t>CE-IVD</w:t>
      </w:r>
      <w:proofErr w:type="spellEnd"/>
    </w:p>
    <w:p w:rsidR="00B25A94" w:rsidRPr="00B36EED" w:rsidRDefault="00B25A94" w:rsidP="00B25A94">
      <w:pPr>
        <w:pStyle w:val="Akapitzlist"/>
        <w:numPr>
          <w:ilvl w:val="0"/>
          <w:numId w:val="4"/>
        </w:numPr>
        <w:spacing w:after="0" w:line="240" w:lineRule="auto"/>
        <w:jc w:val="both"/>
        <w:rPr>
          <w:rFonts w:eastAsia="Times New Roman"/>
          <w:lang w:eastAsia="pl-PL"/>
        </w:rPr>
      </w:pPr>
      <w:r>
        <w:rPr>
          <w:rFonts w:ascii="Times New Roman" w:eastAsia="Times New Roman" w:hAnsi="Times New Roman"/>
          <w:color w:val="000000"/>
          <w:sz w:val="24"/>
          <w:szCs w:val="24"/>
          <w:lang w:eastAsia="pl-PL"/>
        </w:rPr>
        <w:t>Zestaw zawiera 8</w:t>
      </w:r>
      <w:r w:rsidRPr="00E00515">
        <w:rPr>
          <w:rFonts w:ascii="Times New Roman" w:eastAsia="Times New Roman" w:hAnsi="Times New Roman"/>
          <w:color w:val="000000"/>
          <w:sz w:val="24"/>
          <w:szCs w:val="24"/>
          <w:lang w:eastAsia="pl-PL"/>
        </w:rPr>
        <w:t>–dołkowe paski PCR z mieszaniną</w:t>
      </w:r>
      <w:r w:rsidRPr="00E00515">
        <w:rPr>
          <w:rFonts w:ascii="TimesNewRoman" w:eastAsia="Times New Roman" w:hAnsi="TimesNewRoman"/>
          <w:color w:val="000000"/>
          <w:sz w:val="24"/>
          <w:szCs w:val="24"/>
          <w:lang w:eastAsia="pl-PL"/>
        </w:rPr>
        <w:t> </w:t>
      </w:r>
      <w:proofErr w:type="spellStart"/>
      <w:r w:rsidRPr="00E00515">
        <w:rPr>
          <w:rFonts w:ascii="Times New Roman" w:eastAsia="Times New Roman" w:hAnsi="Times New Roman"/>
          <w:color w:val="000000"/>
          <w:sz w:val="24"/>
          <w:szCs w:val="24"/>
          <w:lang w:eastAsia="pl-PL"/>
        </w:rPr>
        <w:t>primerów</w:t>
      </w:r>
      <w:proofErr w:type="spellEnd"/>
      <w:r w:rsidRPr="00E00515">
        <w:rPr>
          <w:rFonts w:ascii="Times New Roman" w:eastAsia="Times New Roman" w:hAnsi="Times New Roman"/>
          <w:color w:val="000000"/>
          <w:sz w:val="24"/>
          <w:szCs w:val="24"/>
          <w:lang w:eastAsia="pl-PL"/>
        </w:rPr>
        <w:t>, kontrolę</w:t>
      </w:r>
      <w:r w:rsidRPr="00E00515">
        <w:rPr>
          <w:rFonts w:ascii="TimesNewRoman" w:eastAsia="Times New Roman" w:hAnsi="TimesNewRoman"/>
          <w:color w:val="000000"/>
          <w:sz w:val="24"/>
          <w:szCs w:val="24"/>
          <w:lang w:eastAsia="pl-PL"/>
        </w:rPr>
        <w:t> </w:t>
      </w:r>
      <w:r w:rsidRPr="00E00515">
        <w:rPr>
          <w:rFonts w:ascii="Times New Roman" w:eastAsia="Times New Roman" w:hAnsi="Times New Roman"/>
          <w:color w:val="000000"/>
          <w:sz w:val="24"/>
          <w:szCs w:val="24"/>
          <w:lang w:eastAsia="pl-PL"/>
        </w:rPr>
        <w:t xml:space="preserve">DNA dodatnią i ujemną o stężeniu50 </w:t>
      </w:r>
      <w:proofErr w:type="spellStart"/>
      <w:r w:rsidRPr="00E00515">
        <w:rPr>
          <w:rFonts w:ascii="Times New Roman" w:eastAsia="Times New Roman" w:hAnsi="Times New Roman"/>
          <w:color w:val="000000"/>
          <w:sz w:val="24"/>
          <w:szCs w:val="24"/>
          <w:lang w:eastAsia="pl-PL"/>
        </w:rPr>
        <w:t>ng</w:t>
      </w:r>
      <w:proofErr w:type="spellEnd"/>
      <w:r w:rsidRPr="00E00515">
        <w:rPr>
          <w:rFonts w:ascii="Times New Roman" w:eastAsia="Times New Roman" w:hAnsi="Times New Roman"/>
          <w:color w:val="000000"/>
          <w:sz w:val="24"/>
          <w:szCs w:val="24"/>
          <w:lang w:eastAsia="pl-PL"/>
        </w:rPr>
        <w:t>/</w:t>
      </w:r>
      <w:proofErr w:type="spellStart"/>
      <w:r w:rsidRPr="00E00515">
        <w:rPr>
          <w:rFonts w:ascii="Times New Roman" w:eastAsia="Times New Roman" w:hAnsi="Times New Roman"/>
          <w:color w:val="000000"/>
          <w:sz w:val="24"/>
          <w:szCs w:val="24"/>
          <w:lang w:eastAsia="pl-PL"/>
        </w:rPr>
        <w:t>μ</w:t>
      </w:r>
      <w:r>
        <w:rPr>
          <w:rFonts w:ascii="Times New Roman" w:eastAsia="Times New Roman" w:hAnsi="Times New Roman"/>
          <w:color w:val="000000"/>
          <w:sz w:val="24"/>
          <w:szCs w:val="24"/>
          <w:lang w:eastAsia="pl-PL"/>
        </w:rPr>
        <w:t>l</w:t>
      </w:r>
      <w:proofErr w:type="spellEnd"/>
      <w:r>
        <w:rPr>
          <w:rFonts w:ascii="Times New Roman" w:eastAsia="Times New Roman" w:hAnsi="Times New Roman"/>
          <w:color w:val="000000"/>
          <w:sz w:val="24"/>
          <w:szCs w:val="24"/>
          <w:lang w:eastAsia="pl-PL"/>
        </w:rPr>
        <w:t xml:space="preserve">, marker masy </w:t>
      </w:r>
      <w:r w:rsidRPr="00B36EED">
        <w:rPr>
          <w:rFonts w:ascii="Times New Roman" w:eastAsia="Times New Roman" w:hAnsi="Times New Roman"/>
          <w:sz w:val="24"/>
          <w:szCs w:val="24"/>
          <w:lang w:eastAsia="pl-PL"/>
        </w:rPr>
        <w:t>50s</w:t>
      </w:r>
    </w:p>
    <w:p w:rsidR="00B25A94" w:rsidRDefault="00B25A94" w:rsidP="00B25A94">
      <w:pPr>
        <w:spacing w:after="0" w:line="240" w:lineRule="auto"/>
        <w:ind w:left="360"/>
        <w:jc w:val="both"/>
        <w:rPr>
          <w:rFonts w:ascii="Arial" w:eastAsia="Times New Roman" w:hAnsi="Arial" w:cs="Arial"/>
          <w:sz w:val="21"/>
          <w:szCs w:val="21"/>
          <w:lang w:eastAsia="pl-PL"/>
        </w:rPr>
      </w:pPr>
    </w:p>
    <w:p w:rsidR="00B25A94" w:rsidRPr="00204779" w:rsidRDefault="00B25A94" w:rsidP="00B25A94">
      <w:pPr>
        <w:spacing w:after="0" w:line="240" w:lineRule="auto"/>
        <w:ind w:left="360"/>
        <w:jc w:val="both"/>
        <w:rPr>
          <w:rFonts w:ascii="Times New Roman" w:eastAsia="Times New Roman" w:hAnsi="Times New Roman"/>
          <w:b/>
          <w:color w:val="000000"/>
          <w:sz w:val="24"/>
          <w:szCs w:val="24"/>
          <w:lang w:eastAsia="pl-PL"/>
        </w:rPr>
      </w:pPr>
      <w:r w:rsidRPr="00C034F0">
        <w:rPr>
          <w:rFonts w:ascii="Arial" w:eastAsia="Times New Roman" w:hAnsi="Arial" w:cs="Arial"/>
          <w:sz w:val="21"/>
          <w:szCs w:val="21"/>
          <w:lang w:eastAsia="pl-PL"/>
        </w:rPr>
        <w:t> </w:t>
      </w:r>
      <w:r>
        <w:rPr>
          <w:rFonts w:ascii="Times New Roman" w:eastAsia="Times New Roman" w:hAnsi="Times New Roman"/>
          <w:b/>
          <w:color w:val="000000"/>
          <w:sz w:val="24"/>
          <w:szCs w:val="24"/>
          <w:lang w:eastAsia="pl-PL"/>
        </w:rPr>
        <w:t>Dotyczy pkt. 17</w:t>
      </w:r>
    </w:p>
    <w:p w:rsidR="00B25A94" w:rsidRPr="00B15FCE" w:rsidRDefault="00B25A94" w:rsidP="00B25A94">
      <w:pPr>
        <w:spacing w:after="0" w:line="240" w:lineRule="auto"/>
        <w:rPr>
          <w:rFonts w:eastAsia="Times New Roman"/>
          <w:color w:val="000000"/>
          <w:lang w:eastAsia="pl-PL"/>
        </w:rPr>
      </w:pPr>
    </w:p>
    <w:p w:rsidR="00316F63" w:rsidRDefault="00316F63" w:rsidP="00B25A94">
      <w:pPr>
        <w:spacing w:before="100" w:beforeAutospacing="1" w:after="100" w:afterAutospacing="1" w:line="240" w:lineRule="auto"/>
        <w:rPr>
          <w:rFonts w:ascii="Times New Roman" w:eastAsia="Times New Roman" w:hAnsi="Times New Roman"/>
          <w:b/>
          <w:bCs/>
          <w:sz w:val="28"/>
          <w:szCs w:val="28"/>
          <w:lang w:eastAsia="pl-PL"/>
        </w:rPr>
      </w:pPr>
    </w:p>
    <w:p w:rsidR="00316F63" w:rsidRDefault="00316F63" w:rsidP="00B25A94">
      <w:pPr>
        <w:spacing w:before="100" w:beforeAutospacing="1" w:after="100" w:afterAutospacing="1" w:line="240" w:lineRule="auto"/>
        <w:rPr>
          <w:rFonts w:ascii="Times New Roman" w:eastAsia="Times New Roman" w:hAnsi="Times New Roman"/>
          <w:b/>
          <w:bCs/>
          <w:sz w:val="28"/>
          <w:szCs w:val="28"/>
          <w:lang w:eastAsia="pl-PL"/>
        </w:rPr>
      </w:pPr>
    </w:p>
    <w:p w:rsidR="00245AFF" w:rsidRDefault="00245AFF" w:rsidP="00B25A94">
      <w:pPr>
        <w:spacing w:before="100" w:beforeAutospacing="1" w:after="100" w:afterAutospacing="1" w:line="240" w:lineRule="auto"/>
        <w:rPr>
          <w:rFonts w:ascii="Times New Roman" w:eastAsia="Times New Roman" w:hAnsi="Times New Roman"/>
          <w:b/>
          <w:bCs/>
          <w:sz w:val="28"/>
          <w:szCs w:val="28"/>
          <w:lang w:eastAsia="pl-PL"/>
        </w:rPr>
      </w:pPr>
    </w:p>
    <w:p w:rsidR="00245AFF" w:rsidRDefault="00245AFF" w:rsidP="00B25A94">
      <w:pPr>
        <w:spacing w:before="100" w:beforeAutospacing="1" w:after="100" w:afterAutospacing="1" w:line="240" w:lineRule="auto"/>
        <w:rPr>
          <w:rFonts w:ascii="Times New Roman" w:eastAsia="Times New Roman" w:hAnsi="Times New Roman"/>
          <w:b/>
          <w:bCs/>
          <w:sz w:val="28"/>
          <w:szCs w:val="28"/>
          <w:lang w:eastAsia="pl-PL"/>
        </w:rPr>
      </w:pPr>
    </w:p>
    <w:p w:rsidR="00B25A94" w:rsidRDefault="00B25A94" w:rsidP="00B25A94">
      <w:pPr>
        <w:spacing w:before="100" w:beforeAutospacing="1" w:after="100" w:afterAutospacing="1" w:line="240" w:lineRule="auto"/>
        <w:rPr>
          <w:rFonts w:ascii="Times New Roman" w:eastAsia="Times New Roman" w:hAnsi="Times New Roman"/>
          <w:b/>
          <w:bCs/>
          <w:color w:val="993300"/>
          <w:sz w:val="28"/>
          <w:szCs w:val="28"/>
          <w:lang w:eastAsia="pl-PL"/>
        </w:rPr>
      </w:pPr>
      <w:r>
        <w:rPr>
          <w:rFonts w:ascii="Times New Roman" w:eastAsia="Times New Roman" w:hAnsi="Times New Roman"/>
          <w:b/>
          <w:bCs/>
          <w:sz w:val="28"/>
          <w:szCs w:val="28"/>
          <w:lang w:eastAsia="pl-PL"/>
        </w:rPr>
        <w:lastRenderedPageBreak/>
        <w:t>Zadanie nr 11 część B</w:t>
      </w:r>
      <w:r w:rsidRPr="00B15FCE">
        <w:rPr>
          <w:rFonts w:ascii="Times New Roman" w:eastAsia="Times New Roman" w:hAnsi="Times New Roman"/>
          <w:b/>
          <w:bCs/>
          <w:sz w:val="28"/>
          <w:szCs w:val="28"/>
          <w:lang w:eastAsia="pl-PL"/>
        </w:rPr>
        <w:t>:</w:t>
      </w:r>
      <w:r w:rsidRPr="00B15FCE">
        <w:rPr>
          <w:rFonts w:ascii="Arial" w:eastAsia="Times New Roman" w:hAnsi="Arial" w:cs="Arial"/>
          <w:color w:val="000000"/>
          <w:sz w:val="21"/>
          <w:szCs w:val="21"/>
          <w:lang w:eastAsia="pl-PL"/>
        </w:rPr>
        <w:t> </w:t>
      </w:r>
      <w:r w:rsidRPr="00B15FCE">
        <w:rPr>
          <w:rFonts w:ascii="Times New Roman" w:eastAsia="Times New Roman" w:hAnsi="Times New Roman"/>
          <w:b/>
          <w:color w:val="993300"/>
          <w:sz w:val="28"/>
          <w:szCs w:val="28"/>
          <w:lang w:eastAsia="pl-PL"/>
        </w:rPr>
        <w:t xml:space="preserve">Dzierżawa </w:t>
      </w:r>
      <w:proofErr w:type="spellStart"/>
      <w:r w:rsidRPr="00B15FCE">
        <w:rPr>
          <w:rFonts w:ascii="Times New Roman" w:eastAsia="Times New Roman" w:hAnsi="Times New Roman"/>
          <w:b/>
          <w:color w:val="993300"/>
          <w:sz w:val="28"/>
          <w:szCs w:val="28"/>
          <w:lang w:eastAsia="pl-PL"/>
        </w:rPr>
        <w:t>termocyklera</w:t>
      </w:r>
      <w:proofErr w:type="spellEnd"/>
      <w:r>
        <w:rPr>
          <w:rFonts w:ascii="Times New Roman" w:eastAsia="Times New Roman" w:hAnsi="Times New Roman"/>
          <w:b/>
          <w:color w:val="993300"/>
          <w:sz w:val="28"/>
          <w:szCs w:val="28"/>
          <w:lang w:eastAsia="pl-PL"/>
        </w:rPr>
        <w:t xml:space="preserve"> </w:t>
      </w:r>
      <w:r w:rsidRPr="00C034F0">
        <w:rPr>
          <w:rFonts w:ascii="Times New Roman" w:eastAsia="Times New Roman" w:hAnsi="Times New Roman"/>
          <w:b/>
          <w:bCs/>
          <w:color w:val="993300"/>
          <w:sz w:val="28"/>
          <w:szCs w:val="28"/>
          <w:lang w:eastAsia="pl-PL"/>
        </w:rPr>
        <w:t>na potrzeby</w:t>
      </w:r>
      <w:r>
        <w:rPr>
          <w:rFonts w:ascii="Times New Roman" w:eastAsia="Times New Roman" w:hAnsi="Times New Roman"/>
          <w:b/>
          <w:bCs/>
          <w:color w:val="993300"/>
          <w:sz w:val="28"/>
          <w:szCs w:val="28"/>
          <w:lang w:eastAsia="pl-PL"/>
        </w:rPr>
        <w:t xml:space="preserve"> </w:t>
      </w:r>
      <w:r w:rsidRPr="00C034F0">
        <w:rPr>
          <w:rFonts w:ascii="Times New Roman" w:eastAsia="Times New Roman" w:hAnsi="Times New Roman"/>
          <w:b/>
          <w:bCs/>
          <w:color w:val="993300"/>
          <w:sz w:val="28"/>
          <w:szCs w:val="28"/>
          <w:lang w:eastAsia="pl-PL"/>
        </w:rPr>
        <w:t>Pracowni HLA</w:t>
      </w:r>
    </w:p>
    <w:p w:rsidR="00B25A94" w:rsidRPr="00420DFC" w:rsidRDefault="00B25A94" w:rsidP="00B25A94">
      <w:pPr>
        <w:jc w:val="center"/>
        <w:rPr>
          <w:rFonts w:ascii="Times New Roman" w:hAnsi="Times New Roman"/>
          <w:b/>
          <w:sz w:val="24"/>
          <w:szCs w:val="24"/>
        </w:rPr>
      </w:pPr>
      <w:r w:rsidRPr="00420DFC">
        <w:rPr>
          <w:rFonts w:ascii="Times New Roman" w:hAnsi="Times New Roman"/>
          <w:b/>
          <w:sz w:val="24"/>
          <w:szCs w:val="24"/>
        </w:rPr>
        <w:t xml:space="preserve">Specyfikacja </w:t>
      </w:r>
      <w:proofErr w:type="spellStart"/>
      <w:r w:rsidRPr="00420DFC">
        <w:rPr>
          <w:rFonts w:ascii="Times New Roman" w:hAnsi="Times New Roman"/>
          <w:b/>
          <w:sz w:val="24"/>
          <w:szCs w:val="24"/>
        </w:rPr>
        <w:t>termocyklera</w:t>
      </w:r>
      <w:proofErr w:type="spellEnd"/>
      <w:r>
        <w:rPr>
          <w:rFonts w:ascii="Times New Roman" w:hAnsi="Times New Roman"/>
          <w:b/>
          <w:sz w:val="24"/>
          <w:szCs w:val="24"/>
        </w:rPr>
        <w:t xml:space="preserve"> </w:t>
      </w:r>
      <w:r w:rsidRPr="00304408">
        <w:rPr>
          <w:rFonts w:ascii="Times New Roman" w:hAnsi="Times New Roman"/>
          <w:b/>
          <w:sz w:val="24"/>
          <w:szCs w:val="24"/>
          <w:u w:val="single"/>
          <w:shd w:val="clear" w:color="auto" w:fill="FFFF00"/>
        </w:rPr>
        <w:t>typu</w:t>
      </w:r>
      <w:r>
        <w:rPr>
          <w:rFonts w:ascii="Times New Roman" w:hAnsi="Times New Roman"/>
          <w:b/>
          <w:sz w:val="24"/>
          <w:szCs w:val="24"/>
        </w:rPr>
        <w:t xml:space="preserve"> </w:t>
      </w:r>
      <w:proofErr w:type="spellStart"/>
      <w:r w:rsidRPr="00577123">
        <w:rPr>
          <w:rFonts w:ascii="Times New Roman" w:eastAsia="Times New Roman" w:hAnsi="Times New Roman"/>
          <w:b/>
          <w:color w:val="FF0000"/>
          <w:sz w:val="24"/>
          <w:szCs w:val="24"/>
          <w:lang w:eastAsia="pl-PL"/>
        </w:rPr>
        <w:t>FlexCycler</w:t>
      </w:r>
      <w:proofErr w:type="spellEnd"/>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proofErr w:type="spellStart"/>
      <w:r w:rsidRPr="00B15FCE">
        <w:rPr>
          <w:rFonts w:ascii="Times New Roman" w:hAnsi="Times New Roman"/>
          <w:sz w:val="24"/>
          <w:szCs w:val="24"/>
        </w:rPr>
        <w:t>Termocykler</w:t>
      </w:r>
      <w:proofErr w:type="spellEnd"/>
      <w:r w:rsidRPr="00B15FCE">
        <w:rPr>
          <w:rFonts w:ascii="Times New Roman" w:hAnsi="Times New Roman"/>
          <w:sz w:val="24"/>
          <w:szCs w:val="24"/>
        </w:rPr>
        <w:t xml:space="preserve"> </w:t>
      </w:r>
      <w:proofErr w:type="spellStart"/>
      <w:r w:rsidRPr="00B15FCE">
        <w:rPr>
          <w:rFonts w:ascii="Times New Roman" w:hAnsi="Times New Roman"/>
          <w:sz w:val="24"/>
          <w:szCs w:val="24"/>
        </w:rPr>
        <w:t>jednoblokowy</w:t>
      </w:r>
      <w:proofErr w:type="spellEnd"/>
      <w:r w:rsidRPr="00B15FCE">
        <w:rPr>
          <w:rFonts w:ascii="Times New Roman" w:hAnsi="Times New Roman"/>
          <w:sz w:val="24"/>
          <w:szCs w:val="24"/>
        </w:rPr>
        <w:t xml:space="preserve"> – 96 dołków</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 xml:space="preserve">Możliwość szybkiej wymiany bloku (poniżej 10 sek.) na jednostkę </w:t>
      </w:r>
      <w:proofErr w:type="spellStart"/>
      <w:r w:rsidRPr="00B15FCE">
        <w:rPr>
          <w:rFonts w:ascii="Times New Roman" w:hAnsi="Times New Roman"/>
          <w:sz w:val="24"/>
          <w:szCs w:val="24"/>
        </w:rPr>
        <w:t>dwublokową</w:t>
      </w:r>
      <w:proofErr w:type="spellEnd"/>
      <w:r w:rsidRPr="00B15FCE">
        <w:rPr>
          <w:rFonts w:ascii="Times New Roman" w:hAnsi="Times New Roman"/>
          <w:sz w:val="24"/>
          <w:szCs w:val="24"/>
        </w:rPr>
        <w:t xml:space="preserve"> (2 x 48 dołków)</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Blok aluminiowy pokrywany srebrem</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Zakres temperaturowy: 3 °C – 99 °C</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Maksymalny współczynnik grzania: 3.5 °C/s</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Maksymalny współczynnik chłodzenia: 3.5 °C/s</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Możliwość zaprogramowania co najmniej 300 programów PCR</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Możliwość importowania/eksportowania zapisanych pr</w:t>
      </w:r>
      <w:bookmarkStart w:id="0" w:name="_GoBack"/>
      <w:bookmarkEnd w:id="0"/>
      <w:r w:rsidRPr="00B15FCE">
        <w:rPr>
          <w:rFonts w:ascii="Times New Roman" w:hAnsi="Times New Roman"/>
          <w:sz w:val="24"/>
          <w:szCs w:val="24"/>
        </w:rPr>
        <w:t xml:space="preserve">ogramów oraz plików </w:t>
      </w:r>
      <w:proofErr w:type="spellStart"/>
      <w:r w:rsidRPr="00B15FCE">
        <w:rPr>
          <w:rFonts w:ascii="Times New Roman" w:hAnsi="Times New Roman"/>
          <w:sz w:val="24"/>
          <w:szCs w:val="24"/>
        </w:rPr>
        <w:t>logfiles</w:t>
      </w:r>
      <w:proofErr w:type="spellEnd"/>
      <w:r w:rsidRPr="00B15FCE">
        <w:rPr>
          <w:rFonts w:ascii="Times New Roman" w:hAnsi="Times New Roman"/>
          <w:sz w:val="24"/>
          <w:szCs w:val="24"/>
        </w:rPr>
        <w:t xml:space="preserve"> przez port USB</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Wyprodukowany w Europie</w:t>
      </w:r>
    </w:p>
    <w:p w:rsidR="00B25A94" w:rsidRPr="00B15FCE"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Parametry napięcia i natężenia: 100, 115, 230 V, 50 – 60 Hz</w:t>
      </w:r>
    </w:p>
    <w:p w:rsidR="00B25A94" w:rsidRDefault="00B25A94" w:rsidP="00B25A94">
      <w:pPr>
        <w:pStyle w:val="Akapitzlist"/>
        <w:numPr>
          <w:ilvl w:val="0"/>
          <w:numId w:val="7"/>
        </w:numPr>
        <w:spacing w:after="160" w:line="256" w:lineRule="auto"/>
        <w:jc w:val="both"/>
        <w:rPr>
          <w:rFonts w:ascii="Times New Roman" w:hAnsi="Times New Roman"/>
          <w:sz w:val="24"/>
          <w:szCs w:val="24"/>
        </w:rPr>
      </w:pPr>
      <w:r w:rsidRPr="00B15FCE">
        <w:rPr>
          <w:rFonts w:ascii="Times New Roman" w:hAnsi="Times New Roman"/>
          <w:sz w:val="24"/>
          <w:szCs w:val="24"/>
        </w:rPr>
        <w:t>Waga poniżej 16 kg</w:t>
      </w:r>
    </w:p>
    <w:p w:rsidR="00B25A94" w:rsidRDefault="00B25A94" w:rsidP="00B25A94">
      <w:pPr>
        <w:pStyle w:val="Akapitzlist"/>
        <w:numPr>
          <w:ilvl w:val="0"/>
          <w:numId w:val="7"/>
        </w:numPr>
        <w:spacing w:after="160" w:line="256" w:lineRule="auto"/>
        <w:jc w:val="both"/>
        <w:rPr>
          <w:rFonts w:ascii="Times New Roman" w:hAnsi="Times New Roman"/>
          <w:sz w:val="24"/>
          <w:szCs w:val="24"/>
        </w:rPr>
      </w:pPr>
      <w:r>
        <w:rPr>
          <w:rFonts w:ascii="Times New Roman" w:hAnsi="Times New Roman"/>
          <w:sz w:val="24"/>
          <w:szCs w:val="24"/>
        </w:rPr>
        <w:t>Wymagane kompatybilne kapselki (</w:t>
      </w:r>
      <w:proofErr w:type="spellStart"/>
      <w:r>
        <w:rPr>
          <w:rFonts w:ascii="Times New Roman" w:hAnsi="Times New Roman"/>
          <w:sz w:val="24"/>
          <w:szCs w:val="24"/>
        </w:rPr>
        <w:t>stripy</w:t>
      </w:r>
      <w:proofErr w:type="spellEnd"/>
      <w:r>
        <w:rPr>
          <w:rFonts w:ascii="Times New Roman" w:hAnsi="Times New Roman"/>
          <w:sz w:val="24"/>
          <w:szCs w:val="24"/>
        </w:rPr>
        <w:t>) do zabezpieczania probówek w trakcie reakcji PCR (dotyczy pkt.16 zadanie nr 1)</w:t>
      </w:r>
    </w:p>
    <w:p w:rsidR="00B25A94" w:rsidRPr="00B15FCE" w:rsidRDefault="00B25A94" w:rsidP="00B25A94">
      <w:pPr>
        <w:pStyle w:val="Akapitzlist"/>
        <w:spacing w:after="160" w:line="256" w:lineRule="auto"/>
        <w:jc w:val="both"/>
        <w:rPr>
          <w:rFonts w:ascii="Times New Roman" w:hAnsi="Times New Roman"/>
          <w:sz w:val="24"/>
          <w:szCs w:val="24"/>
        </w:rPr>
      </w:pPr>
    </w:p>
    <w:p w:rsidR="00304408" w:rsidRPr="00304408" w:rsidRDefault="00304408" w:rsidP="00304408">
      <w:pPr>
        <w:jc w:val="both"/>
        <w:rPr>
          <w:rFonts w:ascii="Times New Roman" w:eastAsia="Times New Roman" w:hAnsi="Times New Roman" w:cs="Times New Roman"/>
          <w:b/>
          <w:bCs/>
          <w:color w:val="953634"/>
          <w:sz w:val="24"/>
          <w:szCs w:val="24"/>
          <w:lang w:eastAsia="pl-PL"/>
        </w:rPr>
      </w:pPr>
      <w:r w:rsidRPr="00304408">
        <w:rPr>
          <w:rFonts w:ascii="Times New Roman" w:hAnsi="Times New Roman" w:cs="Times New Roman"/>
          <w:sz w:val="24"/>
          <w:szCs w:val="24"/>
        </w:rPr>
        <w:t xml:space="preserve">Oświadczamy, że oferowane przez nasza firmę  </w:t>
      </w:r>
      <w:r w:rsidRPr="00304408">
        <w:rPr>
          <w:rFonts w:ascii="Times New Roman" w:eastAsia="Times New Roman" w:hAnsi="Times New Roman" w:cs="Times New Roman"/>
          <w:b/>
          <w:bCs/>
          <w:color w:val="953634"/>
          <w:sz w:val="24"/>
          <w:szCs w:val="24"/>
          <w:lang w:eastAsia="pl-PL"/>
        </w:rPr>
        <w:t xml:space="preserve">odczynniki do Pracowni HLA oraz </w:t>
      </w:r>
      <w:proofErr w:type="spellStart"/>
      <w:r>
        <w:rPr>
          <w:rFonts w:ascii="Times New Roman" w:eastAsia="Times New Roman" w:hAnsi="Times New Roman" w:cs="Times New Roman"/>
          <w:b/>
          <w:bCs/>
          <w:color w:val="953634"/>
          <w:sz w:val="24"/>
          <w:szCs w:val="24"/>
          <w:lang w:eastAsia="pl-PL"/>
        </w:rPr>
        <w:t>t</w:t>
      </w:r>
      <w:r w:rsidRPr="00304408">
        <w:rPr>
          <w:rFonts w:ascii="Times New Roman" w:eastAsia="Times New Roman" w:hAnsi="Times New Roman" w:cs="Times New Roman"/>
          <w:b/>
          <w:color w:val="993300"/>
          <w:sz w:val="24"/>
          <w:szCs w:val="24"/>
          <w:lang w:eastAsia="pl-PL"/>
        </w:rPr>
        <w:t>ermocykler</w:t>
      </w:r>
      <w:proofErr w:type="spellEnd"/>
      <w:r w:rsidRPr="00304408">
        <w:rPr>
          <w:rFonts w:ascii="Times New Roman" w:eastAsia="Times New Roman" w:hAnsi="Times New Roman" w:cs="Times New Roman"/>
          <w:b/>
          <w:color w:val="993300"/>
          <w:sz w:val="24"/>
          <w:szCs w:val="24"/>
          <w:lang w:eastAsia="pl-PL"/>
        </w:rPr>
        <w:t xml:space="preserve"> </w:t>
      </w:r>
      <w:r w:rsidRPr="00304408">
        <w:rPr>
          <w:rFonts w:ascii="Times New Roman" w:eastAsia="Times New Roman" w:hAnsi="Times New Roman" w:cs="Times New Roman"/>
          <w:b/>
          <w:bCs/>
          <w:color w:val="993300"/>
          <w:sz w:val="24"/>
          <w:szCs w:val="24"/>
          <w:lang w:eastAsia="pl-PL"/>
        </w:rPr>
        <w:t>na potrzeby Pracowni HLA spełniają wszystkie wyżej wymienione wymagania</w:t>
      </w:r>
    </w:p>
    <w:p w:rsidR="00304408" w:rsidRPr="009A2CD6" w:rsidRDefault="00304408" w:rsidP="009A2CD6"/>
    <w:sectPr w:rsidR="00304408" w:rsidRPr="009A2CD6" w:rsidSect="0056641A">
      <w:headerReference w:type="default" r:id="rId7"/>
      <w:foot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F83" w:rsidRDefault="000B4F83" w:rsidP="00370395">
      <w:pPr>
        <w:spacing w:after="0" w:line="240" w:lineRule="auto"/>
      </w:pPr>
      <w:r>
        <w:separator/>
      </w:r>
    </w:p>
  </w:endnote>
  <w:endnote w:type="continuationSeparator" w:id="1">
    <w:p w:rsidR="000B4F83" w:rsidRDefault="000B4F83" w:rsidP="00370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7354"/>
      <w:docPartObj>
        <w:docPartGallery w:val="Page Numbers (Bottom of Page)"/>
        <w:docPartUnique/>
      </w:docPartObj>
    </w:sdtPr>
    <w:sdtContent>
      <w:p w:rsidR="000B4F83" w:rsidRDefault="00D5484C">
        <w:pPr>
          <w:pStyle w:val="Stopka"/>
          <w:jc w:val="right"/>
        </w:pPr>
        <w:fldSimple w:instr=" PAGE   \* MERGEFORMAT ">
          <w:r w:rsidR="00245AFF">
            <w:rPr>
              <w:noProof/>
            </w:rPr>
            <w:t>9</w:t>
          </w:r>
        </w:fldSimple>
      </w:p>
    </w:sdtContent>
  </w:sdt>
  <w:p w:rsidR="000B4F83" w:rsidRDefault="000B4F83">
    <w:pPr>
      <w:pStyle w:val="Stopka"/>
    </w:pPr>
    <w:r>
      <w:t>……………………………………………………….                           ……………………………………………………………..</w:t>
    </w:r>
  </w:p>
  <w:p w:rsidR="000B4F83" w:rsidRDefault="000B4F83">
    <w:pPr>
      <w:pStyle w:val="Stopka"/>
    </w:pPr>
    <w:r>
      <w:t>Miejscowość                                                                                                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F83" w:rsidRDefault="000B4F83" w:rsidP="00370395">
      <w:pPr>
        <w:spacing w:after="0" w:line="240" w:lineRule="auto"/>
      </w:pPr>
      <w:r>
        <w:separator/>
      </w:r>
    </w:p>
  </w:footnote>
  <w:footnote w:type="continuationSeparator" w:id="1">
    <w:p w:rsidR="000B4F83" w:rsidRDefault="000B4F83" w:rsidP="00370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83" w:rsidRPr="0048517D" w:rsidRDefault="000B4F83" w:rsidP="00370395">
    <w:pPr>
      <w:pStyle w:val="Nagwek"/>
      <w:rPr>
        <w:rFonts w:ascii="Cambria" w:hAnsi="Cambria"/>
        <w:b/>
      </w:rPr>
    </w:pPr>
    <w:r w:rsidRPr="0048517D">
      <w:rPr>
        <w:rFonts w:ascii="Cambria" w:hAnsi="Cambria"/>
        <w:b/>
      </w:rPr>
      <w:t>Znak sprawy: ZP/220</w:t>
    </w:r>
    <w:r>
      <w:rPr>
        <w:rFonts w:ascii="Cambria" w:hAnsi="Cambria"/>
        <w:b/>
      </w:rPr>
      <w:t>/58/18</w:t>
    </w:r>
    <w:r w:rsidRPr="0048517D">
      <w:rPr>
        <w:rFonts w:ascii="Cambria" w:hAnsi="Cambria"/>
        <w:b/>
      </w:rPr>
      <w:t xml:space="preserve">             </w:t>
    </w:r>
    <w:r>
      <w:rPr>
        <w:rFonts w:ascii="Cambria" w:hAnsi="Cambria"/>
        <w:b/>
      </w:rPr>
      <w:t xml:space="preserve">                                                                       </w:t>
    </w:r>
    <w:r w:rsidRPr="0048517D">
      <w:rPr>
        <w:rFonts w:ascii="Cambria" w:hAnsi="Cambria"/>
        <w:b/>
      </w:rPr>
      <w:t xml:space="preserve">ZAŁĄCZNIK NR </w:t>
    </w:r>
    <w:r>
      <w:rPr>
        <w:rFonts w:ascii="Cambria" w:hAnsi="Cambria"/>
        <w:b/>
      </w:rPr>
      <w:t>6</w:t>
    </w:r>
  </w:p>
  <w:p w:rsidR="000B4F83" w:rsidRDefault="000B4F83" w:rsidP="00370395">
    <w:pPr>
      <w:spacing w:after="0"/>
      <w:jc w:val="center"/>
      <w:rPr>
        <w:rFonts w:ascii="Times New Roman" w:hAnsi="Times New Roman"/>
        <w:b/>
        <w:sz w:val="28"/>
        <w:szCs w:val="28"/>
      </w:rPr>
    </w:pPr>
  </w:p>
  <w:p w:rsidR="000B4F83" w:rsidRDefault="000B4F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7FF"/>
    <w:multiLevelType w:val="hybridMultilevel"/>
    <w:tmpl w:val="A5342E94"/>
    <w:lvl w:ilvl="0" w:tplc="5B0C4F88">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55FE1"/>
    <w:multiLevelType w:val="hybridMultilevel"/>
    <w:tmpl w:val="10D28920"/>
    <w:lvl w:ilvl="0" w:tplc="2AE036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D622AE"/>
    <w:multiLevelType w:val="hybridMultilevel"/>
    <w:tmpl w:val="8C064536"/>
    <w:lvl w:ilvl="0" w:tplc="10F2727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A03DF1"/>
    <w:multiLevelType w:val="hybridMultilevel"/>
    <w:tmpl w:val="B69028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3A44EE9"/>
    <w:multiLevelType w:val="hybridMultilevel"/>
    <w:tmpl w:val="F1EE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6D1965"/>
    <w:multiLevelType w:val="hybridMultilevel"/>
    <w:tmpl w:val="F95CD51E"/>
    <w:lvl w:ilvl="0" w:tplc="83908CF6">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344CF3"/>
    <w:multiLevelType w:val="hybridMultilevel"/>
    <w:tmpl w:val="ABEE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5C7937"/>
    <w:multiLevelType w:val="hybridMultilevel"/>
    <w:tmpl w:val="CE1A7AEE"/>
    <w:lvl w:ilvl="0" w:tplc="5A18B81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70395"/>
    <w:rsid w:val="00034678"/>
    <w:rsid w:val="000B4F83"/>
    <w:rsid w:val="001211A6"/>
    <w:rsid w:val="001C2297"/>
    <w:rsid w:val="001D1A34"/>
    <w:rsid w:val="00234503"/>
    <w:rsid w:val="00245AFF"/>
    <w:rsid w:val="002D0D5F"/>
    <w:rsid w:val="00304408"/>
    <w:rsid w:val="00316F63"/>
    <w:rsid w:val="0035673D"/>
    <w:rsid w:val="0036004F"/>
    <w:rsid w:val="00370395"/>
    <w:rsid w:val="00374F70"/>
    <w:rsid w:val="003B7B80"/>
    <w:rsid w:val="00432A64"/>
    <w:rsid w:val="00465528"/>
    <w:rsid w:val="004677E4"/>
    <w:rsid w:val="0056641A"/>
    <w:rsid w:val="006D39E2"/>
    <w:rsid w:val="007500EE"/>
    <w:rsid w:val="007B044D"/>
    <w:rsid w:val="007B227E"/>
    <w:rsid w:val="007E00CE"/>
    <w:rsid w:val="007E2C5C"/>
    <w:rsid w:val="007E3354"/>
    <w:rsid w:val="0084335D"/>
    <w:rsid w:val="00855C19"/>
    <w:rsid w:val="008C1717"/>
    <w:rsid w:val="00951A80"/>
    <w:rsid w:val="00974DF9"/>
    <w:rsid w:val="00983C62"/>
    <w:rsid w:val="009A2CD6"/>
    <w:rsid w:val="00AD3CFA"/>
    <w:rsid w:val="00B25A94"/>
    <w:rsid w:val="00BF6A87"/>
    <w:rsid w:val="00C55541"/>
    <w:rsid w:val="00CD5A2B"/>
    <w:rsid w:val="00D5484C"/>
    <w:rsid w:val="00D5515E"/>
    <w:rsid w:val="00D57FD2"/>
    <w:rsid w:val="00E523A7"/>
    <w:rsid w:val="00EA70BA"/>
    <w:rsid w:val="00F04274"/>
    <w:rsid w:val="00F919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3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395"/>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37039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370395"/>
  </w:style>
  <w:style w:type="character" w:customStyle="1" w:styleId="StopkaZnak1">
    <w:name w:val="Stopka Znak1"/>
    <w:aliases w:val="Znak Znak Znak Znak Znak Znak2,Znak Znak Znak Znak Znak Znak1 Znak1,Znak Znak Znak Znak Znak2 Znak1,Znak Znak Znak Znak1 Znak1,Znak Znak Znak1 Znak1,Znak Znak Znak Znak Znak Znak Znak Znak Znak Znak Znak Znak Znak1"/>
    <w:basedOn w:val="Domylnaczcionkaakapitu"/>
    <w:uiPriority w:val="99"/>
    <w:semiHidden/>
    <w:locked/>
    <w:rsid w:val="009A2CD6"/>
    <w:rPr>
      <w:rFonts w:cs="Times New Roman"/>
      <w:lang w:eastAsia="en-US"/>
    </w:rPr>
  </w:style>
  <w:style w:type="paragraph" w:styleId="Akapitzlist">
    <w:name w:val="List Paragraph"/>
    <w:basedOn w:val="Normalny"/>
    <w:uiPriority w:val="34"/>
    <w:qFormat/>
    <w:rsid w:val="00B25A9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0974114">
      <w:bodyDiv w:val="1"/>
      <w:marLeft w:val="0"/>
      <w:marRight w:val="0"/>
      <w:marTop w:val="0"/>
      <w:marBottom w:val="0"/>
      <w:divBdr>
        <w:top w:val="none" w:sz="0" w:space="0" w:color="auto"/>
        <w:left w:val="none" w:sz="0" w:space="0" w:color="auto"/>
        <w:bottom w:val="none" w:sz="0" w:space="0" w:color="auto"/>
        <w:right w:val="none" w:sz="0" w:space="0" w:color="auto"/>
      </w:divBdr>
    </w:div>
    <w:div w:id="533730389">
      <w:bodyDiv w:val="1"/>
      <w:marLeft w:val="0"/>
      <w:marRight w:val="0"/>
      <w:marTop w:val="0"/>
      <w:marBottom w:val="0"/>
      <w:divBdr>
        <w:top w:val="none" w:sz="0" w:space="0" w:color="auto"/>
        <w:left w:val="none" w:sz="0" w:space="0" w:color="auto"/>
        <w:bottom w:val="none" w:sz="0" w:space="0" w:color="auto"/>
        <w:right w:val="none" w:sz="0" w:space="0" w:color="auto"/>
      </w:divBdr>
    </w:div>
    <w:div w:id="1486319477">
      <w:bodyDiv w:val="1"/>
      <w:marLeft w:val="0"/>
      <w:marRight w:val="0"/>
      <w:marTop w:val="0"/>
      <w:marBottom w:val="0"/>
      <w:divBdr>
        <w:top w:val="none" w:sz="0" w:space="0" w:color="auto"/>
        <w:left w:val="none" w:sz="0" w:space="0" w:color="auto"/>
        <w:bottom w:val="none" w:sz="0" w:space="0" w:color="auto"/>
        <w:right w:val="none" w:sz="0" w:space="0" w:color="auto"/>
      </w:divBdr>
    </w:div>
    <w:div w:id="1616789052">
      <w:bodyDiv w:val="1"/>
      <w:marLeft w:val="0"/>
      <w:marRight w:val="0"/>
      <w:marTop w:val="0"/>
      <w:marBottom w:val="0"/>
      <w:divBdr>
        <w:top w:val="none" w:sz="0" w:space="0" w:color="auto"/>
        <w:left w:val="none" w:sz="0" w:space="0" w:color="auto"/>
        <w:bottom w:val="none" w:sz="0" w:space="0" w:color="auto"/>
        <w:right w:val="none" w:sz="0" w:space="0" w:color="auto"/>
      </w:divBdr>
    </w:div>
    <w:div w:id="1621297884">
      <w:bodyDiv w:val="1"/>
      <w:marLeft w:val="0"/>
      <w:marRight w:val="0"/>
      <w:marTop w:val="0"/>
      <w:marBottom w:val="0"/>
      <w:divBdr>
        <w:top w:val="none" w:sz="0" w:space="0" w:color="auto"/>
        <w:left w:val="none" w:sz="0" w:space="0" w:color="auto"/>
        <w:bottom w:val="none" w:sz="0" w:space="0" w:color="auto"/>
        <w:right w:val="none" w:sz="0" w:space="0" w:color="auto"/>
      </w:divBdr>
    </w:div>
    <w:div w:id="191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1969</Words>
  <Characters>11820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8</cp:revision>
  <cp:lastPrinted>2018-08-01T10:43:00Z</cp:lastPrinted>
  <dcterms:created xsi:type="dcterms:W3CDTF">2018-09-11T09:37:00Z</dcterms:created>
  <dcterms:modified xsi:type="dcterms:W3CDTF">2018-09-14T07:15:00Z</dcterms:modified>
</cp:coreProperties>
</file>